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 xml:space="preserve">Приложение №1 </w:t>
      </w:r>
    </w:p>
    <w:p w14:paraId="02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 xml:space="preserve">к приказу </w:t>
      </w:r>
      <w:r>
        <w:rPr>
          <w:color w:val="252525"/>
          <w:sz w:val="28"/>
          <w:highlight w:val="white"/>
        </w:rPr>
        <w:t>о</w:t>
      </w:r>
      <w:r>
        <w:rPr>
          <w:color w:val="252525"/>
          <w:sz w:val="28"/>
          <w:highlight w:val="white"/>
        </w:rPr>
        <w:t>т</w:t>
      </w:r>
      <w:r>
        <w:rPr>
          <w:color w:val="252525"/>
          <w:sz w:val="28"/>
          <w:highlight w:val="white"/>
        </w:rPr>
        <w:t xml:space="preserve"> 30.12.2022 </w:t>
      </w:r>
      <w:r>
        <w:rPr>
          <w:color w:val="252525"/>
          <w:sz w:val="28"/>
          <w:highlight w:val="white"/>
        </w:rPr>
        <w:t>№400</w:t>
      </w:r>
      <w:r>
        <w:rPr>
          <w:color w:val="252525"/>
          <w:sz w:val="28"/>
          <w:highlight w:val="white"/>
        </w:rPr>
        <w:t>-О</w:t>
      </w:r>
    </w:p>
    <w:p w14:paraId="03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</w:p>
    <w:p w14:paraId="04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</w:p>
    <w:p w14:paraId="05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 xml:space="preserve">Состав </w:t>
      </w:r>
    </w:p>
    <w:p w14:paraId="06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>Комиссии по противодействию коррупции</w:t>
      </w:r>
    </w:p>
    <w:p w14:paraId="07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>государственного автономного учреждения культуры Ростовской области «Ростовская государственная филармония»</w:t>
      </w:r>
    </w:p>
    <w:p w14:paraId="08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09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  <w:r>
        <w:rPr>
          <w:b w:val="1"/>
          <w:color w:val="252525"/>
          <w:sz w:val="28"/>
          <w:highlight w:val="white"/>
        </w:rPr>
        <w:t>Жабина С.А.</w:t>
      </w:r>
      <w:r>
        <w:rPr>
          <w:color w:val="252525"/>
          <w:sz w:val="28"/>
          <w:highlight w:val="white"/>
        </w:rPr>
        <w:t xml:space="preserve"> – заместитель генерального директора по развитию и организационной деятельности,</w:t>
      </w:r>
      <w:r>
        <w:rPr>
          <w:color w:val="252525"/>
          <w:sz w:val="28"/>
          <w:highlight w:val="white"/>
        </w:rPr>
        <w:t xml:space="preserve"> председатель комиссии</w:t>
      </w:r>
    </w:p>
    <w:p w14:paraId="0A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  <w:r>
        <w:rPr>
          <w:b w:val="1"/>
          <w:color w:val="252525"/>
          <w:sz w:val="28"/>
          <w:highlight w:val="white"/>
        </w:rPr>
        <w:t>Перевозная И.Г.</w:t>
      </w:r>
      <w:r>
        <w:rPr>
          <w:color w:val="252525"/>
          <w:sz w:val="28"/>
          <w:highlight w:val="white"/>
        </w:rPr>
        <w:t xml:space="preserve"> – заместитель генерального директора по финансово-экономической и правовой деятельности, заместитель председателя комиссии</w:t>
      </w:r>
    </w:p>
    <w:p w14:paraId="0B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  <w:r>
        <w:rPr>
          <w:b w:val="1"/>
          <w:color w:val="252525"/>
          <w:sz w:val="28"/>
          <w:highlight w:val="white"/>
        </w:rPr>
        <w:t>Паршина Н.Е.</w:t>
      </w:r>
      <w:r>
        <w:rPr>
          <w:color w:val="252525"/>
          <w:sz w:val="28"/>
          <w:highlight w:val="white"/>
        </w:rPr>
        <w:t xml:space="preserve"> – заместитель главного бухгалтера, секретарь комиссии</w:t>
      </w:r>
    </w:p>
    <w:p w14:paraId="0C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</w:p>
    <w:p w14:paraId="0D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  <w:u w:val="single"/>
        </w:rPr>
      </w:pPr>
      <w:r>
        <w:rPr>
          <w:color w:val="252525"/>
          <w:sz w:val="28"/>
          <w:highlight w:val="white"/>
          <w:u w:val="single"/>
        </w:rPr>
        <w:t>Члены комиссии:</w:t>
      </w:r>
    </w:p>
    <w:p w14:paraId="0E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</w:p>
    <w:p w14:paraId="0F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  <w:r>
        <w:rPr>
          <w:b w:val="1"/>
          <w:color w:val="252525"/>
          <w:sz w:val="28"/>
          <w:highlight w:val="white"/>
        </w:rPr>
        <w:t xml:space="preserve">Лебедева О.И. </w:t>
      </w:r>
      <w:r>
        <w:rPr>
          <w:color w:val="252525"/>
          <w:sz w:val="28"/>
          <w:highlight w:val="white"/>
        </w:rPr>
        <w:t xml:space="preserve">– </w:t>
      </w:r>
      <w:r>
        <w:rPr>
          <w:color w:val="252525"/>
          <w:sz w:val="28"/>
          <w:highlight w:val="white"/>
        </w:rPr>
        <w:t>артист</w:t>
      </w:r>
      <w:r>
        <w:rPr>
          <w:color w:val="252525"/>
          <w:sz w:val="28"/>
          <w:highlight w:val="white"/>
        </w:rPr>
        <w:t xml:space="preserve"> Концертного оркестра духовых инструментов им. В.Еждика</w:t>
      </w:r>
    </w:p>
    <w:p w14:paraId="10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  <w:r>
        <w:rPr>
          <w:b w:val="1"/>
          <w:color w:val="252525"/>
          <w:sz w:val="28"/>
          <w:highlight w:val="white"/>
        </w:rPr>
        <w:t>Стагниева О.А.</w:t>
      </w:r>
      <w:r>
        <w:rPr>
          <w:color w:val="252525"/>
          <w:sz w:val="28"/>
          <w:highlight w:val="white"/>
        </w:rPr>
        <w:t xml:space="preserve"> – директор концертного коллектива «Классик-концерт»</w:t>
      </w:r>
    </w:p>
    <w:p w14:paraId="11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  <w:r>
        <w:rPr>
          <w:b w:val="1"/>
          <w:color w:val="252525"/>
          <w:sz w:val="28"/>
          <w:highlight w:val="white"/>
        </w:rPr>
        <w:t>Синицына И.Б.</w:t>
      </w:r>
      <w:r>
        <w:rPr>
          <w:color w:val="252525"/>
          <w:sz w:val="28"/>
          <w:highlight w:val="white"/>
        </w:rPr>
        <w:t xml:space="preserve"> – начальник отдела концертно-гастрольной деятельности</w:t>
      </w:r>
    </w:p>
    <w:p w14:paraId="12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  <w:r>
        <w:rPr>
          <w:b w:val="1"/>
          <w:color w:val="252525"/>
          <w:sz w:val="28"/>
          <w:highlight w:val="white"/>
        </w:rPr>
        <w:t>Овсянникова А.И.</w:t>
      </w:r>
      <w:r>
        <w:rPr>
          <w:color w:val="252525"/>
          <w:sz w:val="28"/>
          <w:highlight w:val="white"/>
        </w:rPr>
        <w:t xml:space="preserve"> – секретарь руководителя</w:t>
      </w:r>
    </w:p>
    <w:p w14:paraId="13000000">
      <w:pPr>
        <w:tabs>
          <w:tab w:leader="none" w:pos="1605" w:val="left"/>
        </w:tabs>
        <w:ind/>
        <w:jc w:val="both"/>
        <w:rPr>
          <w:color w:val="252525"/>
          <w:sz w:val="28"/>
          <w:highlight w:val="white"/>
        </w:rPr>
      </w:pPr>
      <w:r>
        <w:rPr>
          <w:b w:val="1"/>
          <w:color w:val="252525"/>
          <w:sz w:val="28"/>
          <w:highlight w:val="white"/>
        </w:rPr>
        <w:t>Олейников А.</w:t>
      </w:r>
      <w:r>
        <w:rPr>
          <w:color w:val="252525"/>
          <w:sz w:val="28"/>
          <w:highlight w:val="white"/>
        </w:rPr>
        <w:t>Н – художественный руководитель эстрадно-джазового оркестра им. К. Назаретова</w:t>
      </w:r>
    </w:p>
    <w:p w14:paraId="14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5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6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7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8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9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A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B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C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D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E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1F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0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1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2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3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4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5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6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7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8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9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A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2B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>Приложение №2 к приказу</w:t>
      </w:r>
    </w:p>
    <w:p w14:paraId="2C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>ГАУК РО «Ростоблфилармония»</w:t>
      </w:r>
    </w:p>
    <w:p w14:paraId="2D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>От 13.12.2021 №178-О</w:t>
      </w:r>
    </w:p>
    <w:p w14:paraId="2E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</w:p>
    <w:p w14:paraId="2F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</w:p>
    <w:p w14:paraId="30000000">
      <w:pPr>
        <w:tabs>
          <w:tab w:leader="none" w:pos="1605" w:val="left"/>
        </w:tabs>
        <w:ind/>
        <w:jc w:val="right"/>
        <w:rPr>
          <w:color w:val="252525"/>
          <w:sz w:val="28"/>
          <w:highlight w:val="white"/>
        </w:rPr>
      </w:pPr>
    </w:p>
    <w:p w14:paraId="31000000">
      <w:pPr>
        <w:tabs>
          <w:tab w:leader="none" w:pos="1605" w:val="left"/>
        </w:tabs>
        <w:ind/>
        <w:jc w:val="center"/>
        <w:rPr>
          <w:color w:val="252525"/>
          <w:sz w:val="28"/>
          <w:highlight w:val="white"/>
        </w:rPr>
      </w:pPr>
    </w:p>
    <w:p w14:paraId="32000000">
      <w:pPr>
        <w:ind/>
        <w:jc w:val="center"/>
        <w:rPr>
          <w:sz w:val="28"/>
        </w:rPr>
      </w:pPr>
      <w:r>
        <w:rPr>
          <w:sz w:val="28"/>
        </w:rPr>
        <w:t>ПОЛОЖЕНИЕ</w:t>
      </w:r>
    </w:p>
    <w:p w14:paraId="33000000">
      <w:pPr>
        <w:ind w:right="48"/>
        <w:jc w:val="center"/>
        <w:rPr>
          <w:color w:val="000000"/>
          <w:sz w:val="28"/>
        </w:rPr>
      </w:pPr>
      <w:r>
        <w:rPr>
          <w:color w:val="000000"/>
          <w:sz w:val="28"/>
        </w:rPr>
        <w:t>о Комиссии по противодействию коррупции</w:t>
      </w:r>
    </w:p>
    <w:p w14:paraId="34000000">
      <w:pPr>
        <w:ind w:right="48"/>
        <w:jc w:val="center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>государственного автономного учреждения культуры Ростовской области «Ростовская государственная филармония»</w:t>
      </w:r>
    </w:p>
    <w:p w14:paraId="35000000">
      <w:pPr>
        <w:ind w:right="48"/>
        <w:jc w:val="center"/>
        <w:rPr>
          <w:color w:val="000000"/>
          <w:sz w:val="28"/>
        </w:rPr>
      </w:pPr>
    </w:p>
    <w:p w14:paraId="36000000">
      <w:pPr>
        <w:widowControl w:val="0"/>
        <w:tabs>
          <w:tab w:leader="none" w:pos="4860" w:val="center"/>
        </w:tabs>
        <w:ind w:hanging="357" w:left="357"/>
        <w:jc w:val="center"/>
        <w:rPr>
          <w:color w:val="000000"/>
          <w:sz w:val="28"/>
        </w:rPr>
      </w:pPr>
      <w:r>
        <w:rPr>
          <w:color w:val="000000"/>
          <w:sz w:val="28"/>
        </w:rPr>
        <w:t>1.   Общие положения</w:t>
      </w:r>
    </w:p>
    <w:p w14:paraId="37000000">
      <w:pPr>
        <w:widowControl w:val="0"/>
        <w:tabs>
          <w:tab w:leader="none" w:pos="4860" w:val="center"/>
        </w:tabs>
        <w:ind w:hanging="357" w:left="357"/>
        <w:jc w:val="center"/>
        <w:rPr>
          <w:color w:val="000000"/>
          <w:sz w:val="28"/>
        </w:rPr>
      </w:pPr>
    </w:p>
    <w:p w14:paraId="38000000">
      <w:pPr>
        <w:ind w:right="48"/>
        <w:jc w:val="both"/>
        <w:rPr>
          <w:color w:val="252525"/>
          <w:sz w:val="28"/>
          <w:highlight w:val="white"/>
        </w:rPr>
      </w:pPr>
      <w:r>
        <w:rPr>
          <w:sz w:val="28"/>
        </w:rPr>
        <w:t xml:space="preserve"> 1.1. Настоящим Положением в соответствии с Федеральным законом от 25.12.2008 № 273-ФЗ «О противодействии коррупции», </w:t>
      </w:r>
      <w:r>
        <w:rPr>
          <w:sz w:val="28"/>
        </w:rPr>
        <w:t xml:space="preserve"> Областным законом от 12.05.2009 № 218-ЗС «О противодействии коррупции в Ростовской области»</w:t>
      </w:r>
      <w:r>
        <w:rPr>
          <w:rStyle w:val="Style_1_ch"/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определяется порядок формирования и деятельности Комиссии по противодействию коррупции </w:t>
      </w:r>
      <w:r>
        <w:rPr>
          <w:color w:val="252525"/>
          <w:sz w:val="28"/>
          <w:highlight w:val="white"/>
        </w:rPr>
        <w:t xml:space="preserve">государственного автономного учреждения </w:t>
      </w:r>
      <w:r>
        <w:rPr>
          <w:color w:val="252525"/>
          <w:sz w:val="28"/>
          <w:highlight w:val="white"/>
        </w:rPr>
        <w:t>культуры Ростовской области «Ростовская государственная филармония»</w:t>
      </w:r>
      <w:r>
        <w:rPr>
          <w:color w:val="252525"/>
          <w:sz w:val="28"/>
          <w:highlight w:val="white"/>
        </w:rPr>
        <w:t xml:space="preserve"> </w:t>
      </w:r>
      <w:r>
        <w:rPr>
          <w:sz w:val="28"/>
        </w:rPr>
        <w:t>(далее – Комиссия).</w:t>
      </w:r>
    </w:p>
    <w:p w14:paraId="39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>1.2.</w:t>
      </w:r>
      <w:r>
        <w:rPr>
          <w:rStyle w:val="Style_1_ch"/>
          <w:sz w:val="28"/>
        </w:rPr>
        <w:t> </w:t>
      </w:r>
      <w:r>
        <w:rPr>
          <w:sz w:val="28"/>
        </w:rPr>
        <w:t>Комиссия является коллегиальным совещательным органом, образованным в целях оказания содействия</w:t>
      </w:r>
      <w:r>
        <w:rPr>
          <w:rStyle w:val="Style_1_ch"/>
          <w:sz w:val="28"/>
        </w:rPr>
        <w:t> </w:t>
      </w:r>
      <w:r>
        <w:rPr>
          <w:color w:val="252525"/>
          <w:sz w:val="28"/>
          <w:highlight w:val="white"/>
        </w:rPr>
        <w:t>государственно</w:t>
      </w:r>
      <w:r>
        <w:rPr>
          <w:color w:val="252525"/>
          <w:sz w:val="28"/>
          <w:highlight w:val="white"/>
        </w:rPr>
        <w:t>му</w:t>
      </w:r>
      <w:r>
        <w:rPr>
          <w:color w:val="252525"/>
          <w:sz w:val="28"/>
          <w:highlight w:val="white"/>
        </w:rPr>
        <w:t xml:space="preserve"> автономно</w:t>
      </w:r>
      <w:r>
        <w:rPr>
          <w:color w:val="252525"/>
          <w:sz w:val="28"/>
          <w:highlight w:val="white"/>
        </w:rPr>
        <w:t>му</w:t>
      </w:r>
      <w:r>
        <w:rPr>
          <w:color w:val="252525"/>
          <w:sz w:val="28"/>
          <w:highlight w:val="white"/>
        </w:rPr>
        <w:t xml:space="preserve"> учреждени</w:t>
      </w:r>
      <w:r>
        <w:rPr>
          <w:color w:val="252525"/>
          <w:sz w:val="28"/>
          <w:highlight w:val="white"/>
        </w:rPr>
        <w:t>ю</w:t>
      </w:r>
      <w:r>
        <w:rPr>
          <w:color w:val="252525"/>
          <w:sz w:val="28"/>
          <w:highlight w:val="white"/>
        </w:rPr>
        <w:t xml:space="preserve"> </w:t>
      </w:r>
      <w:r>
        <w:rPr>
          <w:color w:val="252525"/>
          <w:sz w:val="28"/>
          <w:highlight w:val="white"/>
        </w:rPr>
        <w:t>культуры Ростовской области «Ростовская государственная филармония»</w:t>
      </w:r>
      <w:r>
        <w:rPr>
          <w:color w:val="252525"/>
          <w:sz w:val="28"/>
          <w:highlight w:val="white"/>
        </w:rPr>
        <w:t xml:space="preserve">  </w:t>
      </w:r>
      <w:r>
        <w:rPr>
          <w:spacing w:val="-2"/>
          <w:sz w:val="28"/>
        </w:rPr>
        <w:t>(далее – учреждение)</w:t>
      </w:r>
      <w:r>
        <w:rPr>
          <w:rStyle w:val="Style_1_ch"/>
          <w:i w:val="1"/>
          <w:sz w:val="28"/>
        </w:rPr>
        <w:t> </w:t>
      </w:r>
      <w:r>
        <w:rPr>
          <w:sz w:val="28"/>
        </w:rPr>
        <w:t>в реализации антикоррупционной политики</w:t>
      </w:r>
      <w:r>
        <w:rPr>
          <w:i w:val="1"/>
          <w:sz w:val="28"/>
        </w:rPr>
        <w:t>.</w:t>
      </w:r>
    </w:p>
    <w:p w14:paraId="3A000000">
      <w:pPr>
        <w:ind w:firstLine="709" w:left="0"/>
        <w:jc w:val="both"/>
        <w:rPr>
          <w:sz w:val="28"/>
        </w:rPr>
      </w:pPr>
      <w:r>
        <w:rPr>
          <w:sz w:val="28"/>
        </w:rPr>
        <w:t>1.3.</w:t>
      </w:r>
      <w:r>
        <w:rPr>
          <w:rStyle w:val="Style_1_ch"/>
          <w:sz w:val="28"/>
        </w:rPr>
        <w:t> </w:t>
      </w:r>
      <w:r>
        <w:rPr>
          <w:spacing w:val="-1"/>
          <w:sz w:val="28"/>
        </w:rPr>
        <w:t>Комиссия в своей деятельности руководствуется</w:t>
      </w:r>
      <w:r>
        <w:rPr>
          <w:rStyle w:val="Style_1_ch"/>
          <w:spacing w:val="-1"/>
          <w:sz w:val="28"/>
        </w:rPr>
        <w:t> </w:t>
      </w:r>
      <w:r>
        <w:rPr>
          <w:sz w:val="28"/>
        </w:rPr>
        <w:t>Конституцией Российской Федерации,</w:t>
      </w:r>
      <w:r>
        <w:rPr>
          <w:rStyle w:val="Style_1_ch"/>
          <w:sz w:val="28"/>
        </w:rPr>
        <w:t> </w:t>
      </w:r>
      <w:r>
        <w:rPr>
          <w:sz w:val="28"/>
        </w:rPr>
        <w:t>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Ростовской области,</w:t>
      </w:r>
      <w:r>
        <w:rPr>
          <w:rStyle w:val="Style_1_ch"/>
          <w:spacing w:val="-1"/>
          <w:sz w:val="28"/>
        </w:rPr>
        <w:t> </w:t>
      </w:r>
      <w:r>
        <w:rPr>
          <w:spacing w:val="-1"/>
          <w:sz w:val="28"/>
        </w:rPr>
        <w:t xml:space="preserve">а также настоящим </w:t>
      </w:r>
      <w:r>
        <w:rPr>
          <w:spacing w:val="-2"/>
          <w:sz w:val="28"/>
        </w:rPr>
        <w:t>Положением.</w:t>
      </w:r>
    </w:p>
    <w:p w14:paraId="3B000000">
      <w:pPr>
        <w:ind w:firstLine="709" w:left="0"/>
        <w:jc w:val="both"/>
        <w:rPr>
          <w:sz w:val="28"/>
        </w:rPr>
      </w:pPr>
      <w:r>
        <w:rPr>
          <w:sz w:val="28"/>
        </w:rPr>
        <w:t>1.4.</w:t>
      </w:r>
      <w:r>
        <w:rPr>
          <w:rStyle w:val="Style_1_ch"/>
          <w:sz w:val="28"/>
        </w:rPr>
        <w:t> </w:t>
      </w:r>
      <w:r>
        <w:rPr>
          <w:sz w:val="28"/>
        </w:rPr>
        <w:t>Положение о Комиссии и ее состав утверждаются приказом руководителя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учреждения.</w:t>
      </w:r>
    </w:p>
    <w:p w14:paraId="3C000000">
      <w:pPr>
        <w:ind w:firstLine="709" w:left="0"/>
        <w:jc w:val="both"/>
        <w:rPr>
          <w:sz w:val="28"/>
        </w:rPr>
      </w:pPr>
      <w:r>
        <w:rPr>
          <w:sz w:val="28"/>
        </w:rPr>
        <w:t> </w:t>
      </w:r>
    </w:p>
    <w:p w14:paraId="3D000000">
      <w:pPr>
        <w:ind w:hanging="360" w:left="360"/>
        <w:jc w:val="center"/>
        <w:rPr>
          <w:sz w:val="28"/>
        </w:rPr>
      </w:pPr>
      <w:r>
        <w:rPr>
          <w:sz w:val="28"/>
        </w:rPr>
        <w:t>2.  Основные задачи и полномочия Комиссии</w:t>
      </w:r>
    </w:p>
    <w:p w14:paraId="3E000000">
      <w:pPr>
        <w:ind w:firstLine="709" w:left="0"/>
        <w:jc w:val="both"/>
        <w:rPr>
          <w:sz w:val="28"/>
        </w:rPr>
      </w:pPr>
      <w:r>
        <w:rPr>
          <w:sz w:val="28"/>
        </w:rPr>
        <w:t> </w:t>
      </w:r>
    </w:p>
    <w:p w14:paraId="3F000000">
      <w:pPr>
        <w:ind w:firstLine="709" w:left="0"/>
        <w:jc w:val="both"/>
        <w:rPr>
          <w:sz w:val="28"/>
        </w:rPr>
      </w:pPr>
      <w:r>
        <w:rPr>
          <w:sz w:val="28"/>
        </w:rPr>
        <w:t>2.1. Основными задачами Комиссии являются:</w:t>
      </w:r>
    </w:p>
    <w:p w14:paraId="40000000">
      <w:pPr>
        <w:ind w:firstLine="709" w:left="0"/>
        <w:jc w:val="both"/>
        <w:rPr>
          <w:sz w:val="28"/>
        </w:rPr>
      </w:pPr>
      <w:r>
        <w:rPr>
          <w:sz w:val="28"/>
        </w:rPr>
        <w:t>2.1.1. подготовка предложений</w:t>
      </w:r>
      <w:r>
        <w:rPr>
          <w:rStyle w:val="Style_1_ch"/>
          <w:sz w:val="28"/>
        </w:rPr>
        <w:t> </w:t>
      </w:r>
      <w:r>
        <w:rPr>
          <w:sz w:val="28"/>
        </w:rPr>
        <w:t>по выработке и реализации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учреждением</w:t>
      </w:r>
      <w:r>
        <w:rPr>
          <w:rStyle w:val="Style_1_ch"/>
          <w:sz w:val="28"/>
        </w:rPr>
        <w:t> </w:t>
      </w:r>
      <w:r>
        <w:rPr>
          <w:sz w:val="28"/>
        </w:rPr>
        <w:t>мероприятий антикоррупционной направленности;</w:t>
      </w:r>
    </w:p>
    <w:p w14:paraId="41000000">
      <w:pPr>
        <w:ind w:firstLine="709" w:left="0"/>
        <w:jc w:val="both"/>
        <w:rPr>
          <w:sz w:val="28"/>
        </w:rPr>
      </w:pPr>
      <w:r>
        <w:rPr>
          <w:sz w:val="28"/>
        </w:rPr>
        <w:t>2.1.2. выявление и устранение причин и условий, способствующих возникновению и распространению проявлений коррупции в деятельности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</w:t>
      </w:r>
      <w:r>
        <w:rPr>
          <w:sz w:val="28"/>
        </w:rPr>
        <w:t>;</w:t>
      </w:r>
    </w:p>
    <w:p w14:paraId="4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2.1.3. координация деятельности структурных подразделений (работников) </w:t>
      </w:r>
      <w:r>
        <w:rPr>
          <w:spacing w:val="-2"/>
          <w:sz w:val="28"/>
        </w:rPr>
        <w:t>учреждения</w:t>
      </w:r>
      <w:r>
        <w:rPr>
          <w:rStyle w:val="Style_1_ch"/>
          <w:i w:val="1"/>
          <w:sz w:val="28"/>
        </w:rPr>
        <w:t> </w:t>
      </w:r>
      <w:r>
        <w:rPr>
          <w:sz w:val="28"/>
        </w:rPr>
        <w:t> по реализации антикоррупционной политики;</w:t>
      </w:r>
    </w:p>
    <w:p w14:paraId="43000000">
      <w:pPr>
        <w:ind w:firstLine="709" w:left="0"/>
        <w:jc w:val="both"/>
        <w:rPr>
          <w:sz w:val="28"/>
        </w:rPr>
      </w:pPr>
      <w:r>
        <w:rPr>
          <w:sz w:val="28"/>
        </w:rPr>
        <w:t>2.1.4. создание единой системы информирования работников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</w:t>
      </w:r>
      <w:r>
        <w:rPr>
          <w:rStyle w:val="Style_1_ch"/>
          <w:sz w:val="28"/>
        </w:rPr>
        <w:t> </w:t>
      </w:r>
      <w:r>
        <w:rPr>
          <w:sz w:val="28"/>
        </w:rPr>
        <w:t>по вопросам противодействия коррупции;</w:t>
      </w:r>
    </w:p>
    <w:p w14:paraId="44000000">
      <w:pPr>
        <w:ind w:firstLine="709" w:left="0"/>
        <w:jc w:val="both"/>
        <w:rPr>
          <w:sz w:val="28"/>
        </w:rPr>
      </w:pPr>
      <w:r>
        <w:rPr>
          <w:sz w:val="28"/>
        </w:rPr>
        <w:t>2.1.5. формирование у работников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 </w:t>
      </w:r>
      <w:r>
        <w:rPr>
          <w:sz w:val="28"/>
        </w:rPr>
        <w:t>антикоррупционного сознания и антикоррупционного поведения, антикоррупционная пропаганда и воспитание;</w:t>
      </w:r>
    </w:p>
    <w:p w14:paraId="45000000">
      <w:pPr>
        <w:ind w:firstLine="709" w:left="0"/>
        <w:jc w:val="both"/>
        <w:rPr>
          <w:sz w:val="28"/>
        </w:rPr>
      </w:pPr>
      <w:r>
        <w:rPr>
          <w:sz w:val="28"/>
        </w:rPr>
        <w:t>2.1.6. контроль за реализацией выполнения антикоррупционных мероприятий в</w:t>
      </w:r>
      <w:r>
        <w:rPr>
          <w:spacing w:val="-2"/>
          <w:sz w:val="28"/>
        </w:rPr>
        <w:t xml:space="preserve"> учреждении</w:t>
      </w:r>
      <w:r>
        <w:rPr>
          <w:sz w:val="28"/>
        </w:rPr>
        <w:t>;</w:t>
      </w:r>
    </w:p>
    <w:p w14:paraId="46000000">
      <w:pPr>
        <w:ind w:firstLine="709" w:left="0"/>
        <w:jc w:val="both"/>
        <w:rPr>
          <w:sz w:val="28"/>
        </w:rPr>
      </w:pPr>
      <w:r>
        <w:rPr>
          <w:sz w:val="28"/>
        </w:rPr>
        <w:t>2.1.7. взаимодействие с правоохранительными органами,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14:paraId="47000000">
      <w:pPr>
        <w:ind w:firstLine="709" w:left="0"/>
        <w:jc w:val="both"/>
        <w:rPr>
          <w:sz w:val="28"/>
        </w:rPr>
      </w:pPr>
      <w:r>
        <w:rPr>
          <w:sz w:val="28"/>
        </w:rPr>
        <w:t>2.2. Комиссия для решения возложенных на нее задач имеет право:</w:t>
      </w:r>
    </w:p>
    <w:p w14:paraId="48000000">
      <w:pPr>
        <w:ind w:firstLine="709" w:left="0"/>
        <w:jc w:val="both"/>
        <w:rPr>
          <w:sz w:val="28"/>
        </w:rPr>
      </w:pPr>
      <w:r>
        <w:rPr>
          <w:sz w:val="28"/>
        </w:rPr>
        <w:t>2.2.1. вносить предложения на рассмотрение руководителя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</w:t>
      </w:r>
      <w:r>
        <w:rPr>
          <w:rStyle w:val="Style_1_ch"/>
          <w:sz w:val="28"/>
        </w:rPr>
        <w:t> </w:t>
      </w:r>
      <w:r>
        <w:rPr>
          <w:sz w:val="28"/>
        </w:rPr>
        <w:t>по совершенствованию деятельности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</w:t>
      </w:r>
      <w:r>
        <w:rPr>
          <w:rStyle w:val="Style_1_ch"/>
          <w:i w:val="1"/>
          <w:sz w:val="28"/>
        </w:rPr>
        <w:t> </w:t>
      </w:r>
      <w:r>
        <w:rPr>
          <w:sz w:val="28"/>
        </w:rPr>
        <w:t>в сфере противодействия коррупции;</w:t>
      </w:r>
    </w:p>
    <w:p w14:paraId="49000000">
      <w:pPr>
        <w:ind w:firstLine="709" w:left="0"/>
        <w:jc w:val="both"/>
        <w:rPr>
          <w:sz w:val="28"/>
        </w:rPr>
      </w:pPr>
      <w:r>
        <w:rPr>
          <w:sz w:val="28"/>
        </w:rPr>
        <w:t>2.2.2. запрашивать и получать в установленном порядке информацию от структурных подразделений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</w:t>
      </w:r>
      <w:r>
        <w:rPr>
          <w:sz w:val="28"/>
        </w:rPr>
        <w:t xml:space="preserve">, государственных органов, органов </w:t>
      </w:r>
      <w:r>
        <w:rPr>
          <w:sz w:val="28"/>
        </w:rPr>
        <w:t xml:space="preserve"> </w:t>
      </w:r>
      <w:r>
        <w:rPr>
          <w:sz w:val="28"/>
        </w:rPr>
        <w:t>местного самоуправления </w:t>
      </w:r>
      <w:r>
        <w:rPr>
          <w:rStyle w:val="Style_1_ch"/>
          <w:sz w:val="28"/>
        </w:rPr>
        <w:t> </w:t>
      </w:r>
      <w:r>
        <w:rPr>
          <w:sz w:val="28"/>
        </w:rPr>
        <w:t>и организаций по вопросам, относящимся к компетенции Комиссии;</w:t>
      </w:r>
    </w:p>
    <w:p w14:paraId="4A000000">
      <w:pPr>
        <w:ind w:firstLine="709" w:left="0"/>
        <w:jc w:val="both"/>
        <w:rPr>
          <w:sz w:val="28"/>
        </w:rPr>
      </w:pPr>
      <w:r>
        <w:rPr>
          <w:sz w:val="28"/>
        </w:rPr>
        <w:t>2.2.3. заслушивать на заседаниях Комиссии руководителей структурных подразделений, работников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</w:t>
      </w:r>
      <w:r>
        <w:rPr>
          <w:sz w:val="28"/>
        </w:rPr>
        <w:t>;</w:t>
      </w:r>
    </w:p>
    <w:p w14:paraId="4B000000">
      <w:pPr>
        <w:ind w:firstLine="709" w:left="0"/>
        <w:jc w:val="both"/>
        <w:rPr>
          <w:sz w:val="28"/>
        </w:rPr>
      </w:pPr>
      <w:r>
        <w:rPr>
          <w:sz w:val="28"/>
        </w:rPr>
        <w:t>2.2.4. разрабатывать рекомендации для практического использования по предотвращению и профилактике коррупционных правонарушений в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>муниципальном учреждении</w:t>
      </w:r>
      <w:r>
        <w:rPr>
          <w:sz w:val="28"/>
        </w:rPr>
        <w:t>;</w:t>
      </w:r>
    </w:p>
    <w:p w14:paraId="4C000000">
      <w:pPr>
        <w:ind w:firstLine="709" w:left="0"/>
        <w:jc w:val="both"/>
        <w:rPr>
          <w:sz w:val="28"/>
        </w:rPr>
      </w:pPr>
      <w:r>
        <w:rPr>
          <w:sz w:val="28"/>
        </w:rPr>
        <w:t>2.2.5.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14:paraId="4D000000">
      <w:pPr>
        <w:ind w:firstLine="709" w:left="0"/>
        <w:jc w:val="both"/>
        <w:rPr>
          <w:sz w:val="28"/>
        </w:rPr>
      </w:pPr>
      <w:r>
        <w:rPr>
          <w:sz w:val="28"/>
        </w:rPr>
        <w:t>2.2.6. рассматривать поступившую информацию о проявлениях коррупции в</w:t>
      </w:r>
      <w:r>
        <w:rPr>
          <w:sz w:val="28"/>
        </w:rPr>
        <w:t xml:space="preserve"> </w:t>
      </w:r>
      <w:r>
        <w:rPr>
          <w:sz w:val="28"/>
        </w:rPr>
        <w:t>муниципальном учреждении, подготавливать предложения по устранению и недопущению выявленных нарушений;</w:t>
      </w:r>
    </w:p>
    <w:p w14:paraId="4E000000">
      <w:pPr>
        <w:ind w:firstLine="709" w:left="0"/>
        <w:jc w:val="both"/>
        <w:rPr>
          <w:sz w:val="28"/>
        </w:rPr>
      </w:pPr>
      <w:r>
        <w:rPr>
          <w:sz w:val="28"/>
        </w:rPr>
        <w:t>2.2.7. вносить предложения о привлечении к дисциплинарной ответственности работников</w:t>
      </w:r>
      <w:r>
        <w:rPr>
          <w:rStyle w:val="Style_1_ch"/>
          <w:sz w:val="28"/>
        </w:rPr>
        <w:t> </w:t>
      </w:r>
      <w:r>
        <w:rPr>
          <w:spacing w:val="-2"/>
          <w:sz w:val="28"/>
        </w:rPr>
        <w:t xml:space="preserve"> учреждения</w:t>
      </w:r>
      <w:r>
        <w:rPr>
          <w:sz w:val="28"/>
        </w:rPr>
        <w:t>, совершивших коррупционные правонарушения;</w:t>
      </w:r>
    </w:p>
    <w:p w14:paraId="4F000000">
      <w:pPr>
        <w:ind w:firstLine="709" w:left="0"/>
        <w:jc w:val="both"/>
        <w:rPr>
          <w:sz w:val="28"/>
        </w:rPr>
      </w:pPr>
      <w:r>
        <w:rPr>
          <w:sz w:val="28"/>
        </w:rPr>
        <w:t>2.2.8. создавать временные рабочие группы по вопросам реализации антикоррупционной политики;</w:t>
      </w:r>
    </w:p>
    <w:p w14:paraId="50000000">
      <w:pPr>
        <w:ind w:firstLine="709" w:left="0"/>
        <w:jc w:val="both"/>
        <w:rPr>
          <w:sz w:val="28"/>
        </w:rPr>
      </w:pPr>
      <w:r>
        <w:rPr>
          <w:sz w:val="28"/>
        </w:rPr>
        <w:t>2.2.9.</w:t>
      </w:r>
      <w:r>
        <w:rPr>
          <w:rStyle w:val="Style_1_ch"/>
          <w:sz w:val="28"/>
        </w:rPr>
        <w:t> </w:t>
      </w:r>
      <w:r>
        <w:rPr>
          <w:i w:val="1"/>
          <w:sz w:val="28"/>
        </w:rPr>
        <w:t> </w:t>
      </w:r>
      <w:r>
        <w:rPr>
          <w:sz w:val="28"/>
        </w:rPr>
        <w:t>привлекать в установленном порядке для участия в работе Комиссии представителей государственных органов, органов местного самоуправления и организаций.</w:t>
      </w:r>
    </w:p>
    <w:p w14:paraId="51000000">
      <w:pPr>
        <w:ind w:firstLine="709" w:left="0"/>
        <w:jc w:val="both"/>
        <w:rPr>
          <w:sz w:val="28"/>
        </w:rPr>
      </w:pPr>
      <w:r>
        <w:rPr>
          <w:sz w:val="28"/>
        </w:rPr>
        <w:t> </w:t>
      </w:r>
    </w:p>
    <w:p w14:paraId="52000000">
      <w:pPr>
        <w:ind w:hanging="360" w:left="360"/>
        <w:jc w:val="center"/>
        <w:rPr>
          <w:sz w:val="28"/>
        </w:rPr>
      </w:pPr>
      <w:r>
        <w:rPr>
          <w:sz w:val="28"/>
        </w:rPr>
        <w:t>3. Порядок формирования Комиссии</w:t>
      </w:r>
    </w:p>
    <w:p w14:paraId="53000000">
      <w:pPr>
        <w:ind w:firstLine="709" w:left="0"/>
        <w:jc w:val="both"/>
        <w:rPr>
          <w:sz w:val="28"/>
        </w:rPr>
      </w:pPr>
      <w:r>
        <w:rPr>
          <w:sz w:val="28"/>
        </w:rPr>
        <w:t> </w:t>
      </w:r>
    </w:p>
    <w:p w14:paraId="54000000">
      <w:pPr>
        <w:ind w:firstLine="709" w:left="0"/>
        <w:jc w:val="both"/>
        <w:rPr>
          <w:sz w:val="28"/>
        </w:rPr>
      </w:pPr>
      <w:r>
        <w:rPr>
          <w:sz w:val="28"/>
        </w:rPr>
        <w:t>3.1.</w:t>
      </w:r>
      <w:r>
        <w:rPr>
          <w:rStyle w:val="Style_1_ch"/>
          <w:sz w:val="28"/>
        </w:rPr>
        <w:t> </w:t>
      </w:r>
      <w:r>
        <w:rPr>
          <w:sz w:val="28"/>
        </w:rPr>
        <w:t>Комиссия формируется в составе председателя комиссии, его заместителя, секретаря и членов комиссии.</w:t>
      </w:r>
    </w:p>
    <w:p w14:paraId="55000000">
      <w:pPr>
        <w:ind w:firstLine="709" w:left="0"/>
        <w:jc w:val="both"/>
        <w:rPr>
          <w:sz w:val="28"/>
        </w:rPr>
      </w:pPr>
      <w:r>
        <w:rPr>
          <w:sz w:val="28"/>
        </w:rPr>
        <w:t>3.2. В состав Комиссии входят:</w:t>
      </w:r>
    </w:p>
    <w:p w14:paraId="56000000">
      <w:pPr>
        <w:ind w:firstLine="709" w:left="0"/>
        <w:jc w:val="both"/>
        <w:rPr>
          <w:sz w:val="28"/>
        </w:rPr>
      </w:pPr>
      <w:r>
        <w:rPr>
          <w:sz w:val="28"/>
        </w:rPr>
        <w:t>3.2.1. заместитель руководителя</w:t>
      </w:r>
      <w:r>
        <w:rPr>
          <w:rStyle w:val="Style_1_ch"/>
          <w:sz w:val="28"/>
        </w:rPr>
        <w:t> </w:t>
      </w:r>
      <w:r>
        <w:rPr>
          <w:sz w:val="28"/>
        </w:rPr>
        <w:t xml:space="preserve"> учреждения, работники </w:t>
      </w:r>
      <w:r>
        <w:rPr>
          <w:sz w:val="28"/>
        </w:rPr>
        <w:t>бухгалтерии</w:t>
      </w:r>
      <w:r>
        <w:rPr>
          <w:sz w:val="28"/>
        </w:rPr>
        <w:t>, юридического (правового) подразделения,</w:t>
      </w:r>
      <w:r>
        <w:rPr>
          <w:rStyle w:val="Style_1_ch"/>
          <w:sz w:val="28"/>
        </w:rPr>
        <w:t> </w:t>
      </w:r>
      <w:r>
        <w:rPr>
          <w:sz w:val="28"/>
        </w:rPr>
        <w:t>других подразделений учреждения, определяемые его руководителем;</w:t>
      </w:r>
    </w:p>
    <w:p w14:paraId="57000000">
      <w:pPr>
        <w:ind w:firstLine="709" w:left="0"/>
        <w:jc w:val="both"/>
        <w:rPr>
          <w:sz w:val="28"/>
        </w:rPr>
      </w:pPr>
      <w:r>
        <w:rPr>
          <w:sz w:val="28"/>
        </w:rPr>
        <w:t>3.2.2. руководитель структурного подразделения министерства культуры Ростовской области, курирующее учреждение или сотрудник министерства культуры Ростовской области,  ответственный за работу по профилактике коррупционных и иных правонарушений.</w:t>
      </w:r>
    </w:p>
    <w:p w14:paraId="58000000">
      <w:pPr>
        <w:ind w:firstLine="709" w:left="0"/>
        <w:jc w:val="both"/>
        <w:rPr>
          <w:sz w:val="28"/>
        </w:rPr>
      </w:pPr>
      <w:r>
        <w:rPr>
          <w:sz w:val="28"/>
        </w:rPr>
        <w:t>3.3.</w:t>
      </w:r>
      <w:r>
        <w:rPr>
          <w:rStyle w:val="Style_1_ch"/>
          <w:sz w:val="28"/>
        </w:rPr>
        <w:t> </w:t>
      </w:r>
      <w:bookmarkStart w:id="1" w:name="sub_1009"/>
      <w:r>
        <w:rPr>
          <w:sz w:val="28"/>
        </w:rPr>
        <w:t>Руководитель</w:t>
      </w:r>
      <w:r>
        <w:rPr>
          <w:rStyle w:val="Style_1_ch"/>
          <w:sz w:val="28"/>
        </w:rPr>
        <w:t> </w:t>
      </w:r>
      <w:bookmarkEnd w:id="1"/>
      <w:r>
        <w:rPr>
          <w:sz w:val="28"/>
        </w:rPr>
        <w:t xml:space="preserve"> учреждения</w:t>
      </w:r>
      <w:r>
        <w:rPr>
          <w:rStyle w:val="Style_1_ch"/>
          <w:sz w:val="28"/>
        </w:rPr>
        <w:t> </w:t>
      </w:r>
      <w:r>
        <w:rPr>
          <w:sz w:val="28"/>
        </w:rPr>
        <w:t>может принять</w:t>
      </w:r>
      <w:r>
        <w:rPr>
          <w:rStyle w:val="Style_1_ch"/>
          <w:sz w:val="28"/>
        </w:rPr>
        <w:t> 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"garantf1://70127184.0"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решение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rStyle w:val="Style_1_ch"/>
          <w:sz w:val="28"/>
        </w:rPr>
        <w:t> </w:t>
      </w:r>
      <w:r>
        <w:rPr>
          <w:sz w:val="28"/>
        </w:rPr>
        <w:t>о включении в состав Комиссии:</w:t>
      </w:r>
      <w:bookmarkStart w:id="2" w:name="sub_10091"/>
      <w:bookmarkEnd w:id="2"/>
    </w:p>
    <w:p w14:paraId="59000000">
      <w:pPr>
        <w:ind w:firstLine="709" w:left="0"/>
        <w:jc w:val="both"/>
        <w:rPr>
          <w:sz w:val="28"/>
        </w:rPr>
      </w:pPr>
      <w:r>
        <w:rPr>
          <w:sz w:val="28"/>
        </w:rPr>
        <w:t>3.3.1. представителей общественных объединений, научных и образовательных организаций;</w:t>
      </w:r>
    </w:p>
    <w:p w14:paraId="5A000000">
      <w:pPr>
        <w:ind w:firstLine="709" w:left="0"/>
        <w:jc w:val="both"/>
        <w:rPr>
          <w:sz w:val="28"/>
        </w:rPr>
      </w:pPr>
      <w:r>
        <w:rPr>
          <w:sz w:val="28"/>
        </w:rPr>
        <w:t>3.3.2.</w:t>
      </w:r>
      <w:r>
        <w:rPr>
          <w:rStyle w:val="Style_1_ch"/>
          <w:sz w:val="28"/>
        </w:rPr>
        <w:t> </w:t>
      </w:r>
      <w:bookmarkStart w:id="3" w:name="sub_10093"/>
      <w:bookmarkEnd w:id="3"/>
      <w:r>
        <w:rPr>
          <w:sz w:val="28"/>
        </w:rPr>
        <w:t>представителя профсоюзной организации, действующей в установленном порядке в</w:t>
      </w:r>
      <w:r>
        <w:rPr>
          <w:rStyle w:val="Style_1_ch"/>
          <w:sz w:val="28"/>
        </w:rPr>
        <w:t> </w:t>
      </w:r>
      <w:r>
        <w:rPr>
          <w:sz w:val="28"/>
        </w:rPr>
        <w:t xml:space="preserve"> учреждении.</w:t>
      </w:r>
    </w:p>
    <w:p w14:paraId="5B000000">
      <w:pPr>
        <w:ind w:firstLine="709" w:left="0"/>
        <w:jc w:val="both"/>
        <w:rPr>
          <w:sz w:val="28"/>
        </w:rPr>
      </w:pPr>
      <w:r>
        <w:rPr>
          <w:sz w:val="28"/>
        </w:rPr>
        <w:t>3.4. Лица, указанные в подпункте «б» пункта 3.2 и пункте 3.3 настоящего Положения, включаются в состав Комиссии в установленном порядке по согласованию с</w:t>
      </w:r>
      <w:r>
        <w:rPr>
          <w:rStyle w:val="Style_1_ch"/>
          <w:sz w:val="28"/>
        </w:rPr>
        <w:t> </w:t>
      </w:r>
      <w:r>
        <w:rPr>
          <w:sz w:val="28"/>
        </w:rPr>
        <w:t xml:space="preserve"> министерством культуры Ростовской области,  с общественными объединениями, научными и образовательными организациями, с профсоюзной организацией, действующей в установленном порядке в</w:t>
      </w:r>
      <w:r>
        <w:rPr>
          <w:rStyle w:val="Style_1_ch"/>
          <w:sz w:val="28"/>
        </w:rPr>
        <w:t> </w:t>
      </w:r>
      <w:r>
        <w:rPr>
          <w:sz w:val="28"/>
        </w:rPr>
        <w:t xml:space="preserve"> учреждении, на основании запроса руководителя</w:t>
      </w:r>
      <w:r>
        <w:rPr>
          <w:rStyle w:val="Style_1_ch"/>
          <w:sz w:val="28"/>
        </w:rPr>
        <w:t> </w:t>
      </w:r>
      <w:r>
        <w:rPr>
          <w:sz w:val="28"/>
        </w:rPr>
        <w:t xml:space="preserve"> учреждения.</w:t>
      </w:r>
    </w:p>
    <w:p w14:paraId="5C000000">
      <w:pPr>
        <w:ind w:firstLine="709" w:left="0"/>
        <w:jc w:val="both"/>
        <w:rPr>
          <w:sz w:val="28"/>
        </w:rPr>
      </w:pPr>
      <w:r>
        <w:rPr>
          <w:sz w:val="28"/>
        </w:rPr>
        <w:t>3.5.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D000000">
      <w:pPr>
        <w:ind w:firstLine="709" w:left="0"/>
        <w:jc w:val="both"/>
        <w:rPr>
          <w:sz w:val="28"/>
        </w:rPr>
      </w:pPr>
      <w:bookmarkStart w:id="4" w:name="sub_10132"/>
      <w:r>
        <w:rPr>
          <w:sz w:val="28"/>
        </w:rPr>
        <w:t> </w:t>
      </w:r>
      <w:bookmarkEnd w:id="4"/>
    </w:p>
    <w:p w14:paraId="5E000000">
      <w:pPr>
        <w:ind w:hanging="360" w:left="360"/>
        <w:jc w:val="center"/>
        <w:rPr>
          <w:sz w:val="28"/>
        </w:rPr>
      </w:pPr>
      <w:r>
        <w:rPr>
          <w:sz w:val="28"/>
        </w:rPr>
        <w:t>4.  Организация деятельности Комиссии</w:t>
      </w:r>
    </w:p>
    <w:p w14:paraId="5F000000">
      <w:pPr>
        <w:ind/>
        <w:jc w:val="both"/>
        <w:rPr>
          <w:sz w:val="28"/>
        </w:rPr>
      </w:pPr>
      <w:r>
        <w:rPr>
          <w:b w:val="1"/>
          <w:sz w:val="28"/>
        </w:rPr>
        <w:t> </w:t>
      </w:r>
    </w:p>
    <w:p w14:paraId="60000000">
      <w:pPr>
        <w:ind w:firstLine="709" w:left="0"/>
        <w:jc w:val="both"/>
        <w:rPr>
          <w:sz w:val="28"/>
        </w:rPr>
      </w:pPr>
      <w:r>
        <w:rPr>
          <w:sz w:val="28"/>
        </w:rPr>
        <w:t>4.1.   Деятельность Комиссии осуществляется в соответствии с планами работы на календарный год, утверждаемыми на ее заседаниях.</w:t>
      </w:r>
    </w:p>
    <w:p w14:paraId="61000000">
      <w:pPr>
        <w:ind w:firstLine="709" w:left="0"/>
        <w:jc w:val="both"/>
        <w:rPr>
          <w:sz w:val="28"/>
        </w:rPr>
      </w:pPr>
      <w:r>
        <w:rPr>
          <w:sz w:val="28"/>
        </w:rPr>
        <w:t>4.2.  Заседания Комиссии проводятся не реже  одного раза в квартал. Внеочередные заседания Комиссии проводятся по решению председателя комиссии на основании ходатайства любого члена комиссии.</w:t>
      </w:r>
    </w:p>
    <w:p w14:paraId="62000000">
      <w:pPr>
        <w:ind w:firstLine="709" w:left="0"/>
        <w:jc w:val="both"/>
        <w:rPr>
          <w:sz w:val="28"/>
        </w:rPr>
      </w:pPr>
      <w:r>
        <w:rPr>
          <w:sz w:val="28"/>
        </w:rPr>
        <w:t>4.3. 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14:paraId="63000000">
      <w:pPr>
        <w:ind w:firstLine="709" w:left="0"/>
        <w:jc w:val="both"/>
        <w:rPr>
          <w:sz w:val="28"/>
        </w:rPr>
      </w:pPr>
      <w:r>
        <w:rPr>
          <w:sz w:val="28"/>
        </w:rPr>
        <w:t>4.4.  Заседание Комиссии считается правомочным, если на нем присутствует не менее двух третей от общего числа членов комиссии.</w:t>
      </w:r>
    </w:p>
    <w:p w14:paraId="64000000">
      <w:pPr>
        <w:ind w:firstLine="709" w:left="0"/>
        <w:jc w:val="both"/>
        <w:rPr>
          <w:sz w:val="28"/>
        </w:rPr>
      </w:pPr>
      <w:r>
        <w:rPr>
          <w:sz w:val="28"/>
        </w:rPr>
        <w:t>4.5.  По решению председателя комиссии в заседаниях Комиссии с правом совещательного голоса могут участвовать другие работники</w:t>
      </w:r>
      <w:r>
        <w:rPr>
          <w:rStyle w:val="Style_1_ch"/>
          <w:sz w:val="28"/>
        </w:rPr>
        <w:t> </w:t>
      </w:r>
      <w:r>
        <w:rPr>
          <w:sz w:val="28"/>
        </w:rPr>
        <w:t xml:space="preserve"> учреждения, представители государственных органов, органов местного самоуправления и иных организаций.</w:t>
      </w:r>
    </w:p>
    <w:p w14:paraId="65000000">
      <w:pPr>
        <w:ind w:firstLine="709" w:left="0"/>
        <w:jc w:val="both"/>
        <w:rPr>
          <w:sz w:val="28"/>
        </w:rPr>
      </w:pPr>
      <w:r>
        <w:rPr>
          <w:sz w:val="28"/>
        </w:rPr>
        <w:t>4.6.  Организационно-техническое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14:paraId="66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67000000">
      <w:pPr>
        <w:ind/>
        <w:jc w:val="both"/>
        <w:rPr>
          <w:sz w:val="28"/>
        </w:rPr>
      </w:pPr>
    </w:p>
    <w:p w14:paraId="68000000">
      <w:pPr>
        <w:ind/>
        <w:jc w:val="both"/>
        <w:rPr>
          <w:sz w:val="28"/>
        </w:rPr>
      </w:pPr>
    </w:p>
    <w:p w14:paraId="69000000">
      <w:pPr>
        <w:ind w:hanging="360" w:left="360"/>
        <w:jc w:val="center"/>
        <w:rPr>
          <w:sz w:val="28"/>
        </w:rPr>
      </w:pPr>
      <w:r>
        <w:rPr>
          <w:sz w:val="28"/>
        </w:rPr>
        <w:t>5.  Процедура принятия Комиссией решений</w:t>
      </w:r>
    </w:p>
    <w:p w14:paraId="6A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6B000000">
      <w:pPr>
        <w:ind w:firstLine="709" w:left="0"/>
        <w:jc w:val="both"/>
        <w:rPr>
          <w:sz w:val="28"/>
        </w:rPr>
      </w:pPr>
      <w:r>
        <w:rPr>
          <w:sz w:val="28"/>
        </w:rPr>
        <w:t>5.1.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14:paraId="6C000000">
      <w:pPr>
        <w:ind w:firstLine="709" w:left="0"/>
        <w:jc w:val="both"/>
        <w:rPr>
          <w:sz w:val="28"/>
        </w:rPr>
      </w:pPr>
      <w:r>
        <w:rPr>
          <w:sz w:val="28"/>
        </w:rPr>
        <w:t>5.2. Все члены комиссии при принятии решений обладают равными правами.</w:t>
      </w:r>
    </w:p>
    <w:p w14:paraId="6D000000">
      <w:pPr>
        <w:ind w:firstLine="709" w:left="0"/>
        <w:jc w:val="both"/>
        <w:rPr>
          <w:sz w:val="28"/>
        </w:rPr>
      </w:pPr>
      <w:r>
        <w:rPr>
          <w:sz w:val="28"/>
        </w:rPr>
        <w:t>5.3.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14:paraId="6E000000">
      <w:pPr>
        <w:ind w:firstLine="709" w:left="0"/>
        <w:jc w:val="both"/>
        <w:rPr>
          <w:sz w:val="28"/>
        </w:rPr>
      </w:pPr>
      <w:r>
        <w:rPr>
          <w:sz w:val="28"/>
        </w:rPr>
        <w:t> </w:t>
      </w:r>
    </w:p>
    <w:p w14:paraId="6F000000">
      <w:pPr>
        <w:ind w:hanging="360" w:left="360"/>
        <w:jc w:val="center"/>
        <w:rPr>
          <w:sz w:val="28"/>
        </w:rPr>
      </w:pPr>
      <w:r>
        <w:rPr>
          <w:sz w:val="28"/>
        </w:rPr>
        <w:t>6. Оформление решений Комиссии</w:t>
      </w:r>
    </w:p>
    <w:p w14:paraId="70000000">
      <w:pPr>
        <w:ind w:firstLine="720" w:left="0"/>
        <w:jc w:val="both"/>
        <w:rPr>
          <w:sz w:val="28"/>
        </w:rPr>
      </w:pPr>
      <w:r>
        <w:rPr>
          <w:sz w:val="28"/>
        </w:rPr>
        <w:t> </w:t>
      </w:r>
    </w:p>
    <w:p w14:paraId="71000000">
      <w:pPr>
        <w:ind w:firstLine="709" w:left="0"/>
        <w:jc w:val="both"/>
        <w:rPr>
          <w:sz w:val="28"/>
        </w:rPr>
      </w:pPr>
      <w:bookmarkStart w:id="5" w:name="sub_61"/>
      <w:r>
        <w:rPr>
          <w:sz w:val="28"/>
        </w:rPr>
        <w:t>6.1. Решения Комиссии оформляются протоколами, которые подписывают члены комиссии, принимавшие участие в ее заседании.</w:t>
      </w:r>
      <w:bookmarkEnd w:id="5"/>
    </w:p>
    <w:p w14:paraId="72000000">
      <w:pPr>
        <w:ind w:firstLine="709" w:left="0"/>
        <w:jc w:val="both"/>
        <w:rPr>
          <w:sz w:val="28"/>
        </w:rPr>
      </w:pPr>
      <w:r>
        <w:rPr>
          <w:sz w:val="28"/>
        </w:rPr>
        <w:t>6.2.</w:t>
      </w:r>
      <w:r>
        <w:rPr>
          <w:rStyle w:val="Style_1_ch"/>
          <w:sz w:val="28"/>
        </w:rPr>
        <w:t> </w:t>
      </w:r>
      <w:r>
        <w:rPr>
          <w:sz w:val="28"/>
        </w:rPr>
        <w:t>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</w:t>
      </w:r>
      <w:r>
        <w:rPr>
          <w:rStyle w:val="Style_1_ch"/>
          <w:sz w:val="28"/>
        </w:rPr>
        <w:t> </w:t>
      </w:r>
      <w:r>
        <w:rPr>
          <w:sz w:val="28"/>
        </w:rPr>
        <w:t xml:space="preserve"> учреждения.</w:t>
      </w:r>
    </w:p>
    <w:p w14:paraId="73000000">
      <w:pPr>
        <w:ind w:firstLine="709" w:left="0"/>
        <w:jc w:val="both"/>
        <w:rPr>
          <w:sz w:val="28"/>
        </w:rPr>
      </w:pPr>
      <w:bookmarkStart w:id="6" w:name="sub_62"/>
      <w:r>
        <w:rPr>
          <w:sz w:val="28"/>
        </w:rPr>
        <w:t>6.3. В протоколе заседания Комиссии указываются:</w:t>
      </w:r>
      <w:bookmarkEnd w:id="6"/>
    </w:p>
    <w:p w14:paraId="74000000">
      <w:pPr>
        <w:ind w:firstLine="709" w:left="0"/>
        <w:jc w:val="both"/>
        <w:rPr>
          <w:sz w:val="28"/>
        </w:rPr>
      </w:pPr>
      <w:r>
        <w:rPr>
          <w:sz w:val="28"/>
        </w:rPr>
        <w:t>6.3.1. место и время проведения заседания Комиссии;</w:t>
      </w:r>
    </w:p>
    <w:p w14:paraId="75000000">
      <w:pPr>
        <w:ind w:firstLine="709" w:left="0"/>
        <w:jc w:val="both"/>
        <w:rPr>
          <w:sz w:val="28"/>
        </w:rPr>
      </w:pPr>
      <w:r>
        <w:rPr>
          <w:sz w:val="28"/>
        </w:rPr>
        <w:t>6.3.2. фамилии, имена, отчества членов комиссии и других лиц, присутствующих на заседании;</w:t>
      </w:r>
    </w:p>
    <w:p w14:paraId="76000000">
      <w:pPr>
        <w:ind w:firstLine="709" w:left="0"/>
        <w:jc w:val="both"/>
        <w:rPr>
          <w:sz w:val="28"/>
        </w:rPr>
      </w:pPr>
      <w:r>
        <w:rPr>
          <w:sz w:val="28"/>
        </w:rPr>
        <w:t>6.3.3. повестка дня заседания Комиссии, содержание рассматриваемых вопросов и материалов;</w:t>
      </w:r>
    </w:p>
    <w:p w14:paraId="77000000">
      <w:pPr>
        <w:ind w:firstLine="709" w:left="0"/>
        <w:jc w:val="both"/>
        <w:rPr>
          <w:sz w:val="28"/>
        </w:rPr>
      </w:pPr>
      <w:r>
        <w:rPr>
          <w:sz w:val="28"/>
        </w:rPr>
        <w:t>6.3.4. результаты голосования;</w:t>
      </w:r>
    </w:p>
    <w:p w14:paraId="78000000">
      <w:pPr>
        <w:ind w:firstLine="709" w:left="0"/>
        <w:jc w:val="both"/>
        <w:rPr>
          <w:sz w:val="28"/>
        </w:rPr>
      </w:pPr>
      <w:r>
        <w:rPr>
          <w:sz w:val="28"/>
        </w:rPr>
        <w:t>6.3.5. принятые Комиссией решения;</w:t>
      </w:r>
    </w:p>
    <w:p w14:paraId="79000000">
      <w:pPr>
        <w:ind w:firstLine="709" w:left="0"/>
        <w:jc w:val="both"/>
        <w:rPr>
          <w:sz w:val="28"/>
        </w:rPr>
      </w:pPr>
      <w:r>
        <w:rPr>
          <w:sz w:val="28"/>
        </w:rPr>
        <w:t>6.3.6. сведения о приобщенных к протоколу материалах.</w:t>
      </w:r>
    </w:p>
    <w:p w14:paraId="7A000000">
      <w:pPr>
        <w:ind w:firstLine="720" w:left="0"/>
        <w:jc w:val="both"/>
        <w:rPr>
          <w:sz w:val="28"/>
        </w:rPr>
      </w:pPr>
      <w:r>
        <w:rPr>
          <w:sz w:val="28"/>
        </w:rPr>
        <w:t>6.4. Копия протокола в течение трех рабочих дней со дня заседания направляется руководителю</w:t>
      </w:r>
      <w:r>
        <w:rPr>
          <w:rStyle w:val="Style_1_ch"/>
          <w:sz w:val="28"/>
        </w:rPr>
        <w:t> </w:t>
      </w:r>
      <w:r>
        <w:rPr>
          <w:sz w:val="28"/>
        </w:rPr>
        <w:t xml:space="preserve"> учреждения, а также по решению Комиссии - иным заинтересованным лицам.</w:t>
      </w:r>
    </w:p>
    <w:p w14:paraId="7B000000">
      <w:pPr>
        <w:ind/>
        <w:jc w:val="center"/>
        <w:rPr>
          <w:sz w:val="28"/>
        </w:rPr>
      </w:pPr>
    </w:p>
    <w:p w14:paraId="7C000000">
      <w:pPr>
        <w:ind/>
        <w:jc w:val="center"/>
        <w:rPr>
          <w:sz w:val="28"/>
        </w:rPr>
      </w:pPr>
    </w:p>
    <w:p w14:paraId="7D000000">
      <w:pPr>
        <w:ind/>
        <w:jc w:val="center"/>
        <w:rPr>
          <w:sz w:val="28"/>
        </w:rPr>
      </w:pPr>
    </w:p>
    <w:p w14:paraId="7E000000">
      <w:pPr>
        <w:pStyle w:val="Style_3"/>
        <w:ind w:firstLine="0" w:left="0"/>
        <w:jc w:val="both"/>
        <w:rPr>
          <w:rFonts w:ascii="Times New Roman" w:hAnsi="Times New Roman"/>
          <w:sz w:val="28"/>
        </w:rPr>
      </w:pPr>
    </w:p>
    <w:p w14:paraId="7F000000">
      <w:pPr>
        <w:ind/>
        <w:jc w:val="both"/>
        <w:rPr>
          <w:color w:val="252525"/>
          <w:sz w:val="28"/>
          <w:highlight w:val="white"/>
        </w:rPr>
      </w:pPr>
    </w:p>
    <w:sectPr>
      <w:pgSz w:h="16838" w:orient="portrait" w:w="11906"/>
      <w:pgMar w:bottom="567" w:footer="720" w:gutter="0" w:header="720" w:left="1418" w:right="567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4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-Absatz-Standardschriftart"/>
    <w:link w:val="Style_5_ch"/>
  </w:style>
  <w:style w:styleId="Style_5_ch" w:type="character">
    <w:name w:val="WW-Absatz-Standardschriftart"/>
    <w:link w:val="Style_5"/>
  </w:style>
  <w:style w:styleId="Style_6" w:type="paragraph">
    <w:name w:val="WW-Absatz-Standardschriftart11111111111111"/>
    <w:link w:val="Style_6_ch"/>
  </w:style>
  <w:style w:styleId="Style_6_ch" w:type="character">
    <w:name w:val="WW-Absatz-Standardschriftart11111111111111"/>
    <w:link w:val="Style_6"/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List"/>
    <w:basedOn w:val="Style_9"/>
    <w:link w:val="Style_8_ch"/>
    <w:rPr>
      <w:rFonts w:ascii="Arial" w:hAnsi="Arial"/>
    </w:rPr>
  </w:style>
  <w:style w:styleId="Style_8_ch" w:type="character">
    <w:name w:val="List"/>
    <w:basedOn w:val="Style_9_ch"/>
    <w:link w:val="Style_8"/>
    <w:rPr>
      <w:rFonts w:ascii="Arial" w:hAnsi="Arial"/>
    </w:rPr>
  </w:style>
  <w:style w:styleId="Style_10" w:type="paragraph">
    <w:name w:val="toc 4"/>
    <w:next w:val="Style_4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WW-Absatz-Standardschriftart1111111111"/>
    <w:link w:val="Style_13_ch"/>
  </w:style>
  <w:style w:styleId="Style_13_ch" w:type="character">
    <w:name w:val="WW-Absatz-Standardschriftart1111111111"/>
    <w:link w:val="Style_13"/>
  </w:style>
  <w:style w:styleId="Style_3" w:type="paragraph">
    <w:name w:val="List Paragraph"/>
    <w:basedOn w:val="Style_4"/>
    <w:link w:val="Style_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"/>
    <w:basedOn w:val="Style_4_ch"/>
    <w:link w:val="Style_3"/>
    <w:rPr>
      <w:rFonts w:ascii="Calibri" w:hAnsi="Calibri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WW-Absatz-Standardschriftart11111111111"/>
    <w:link w:val="Style_15_ch"/>
  </w:style>
  <w:style w:styleId="Style_15_ch" w:type="character">
    <w:name w:val="WW-Absatz-Standardschriftart11111111111"/>
    <w:link w:val="Style_15"/>
  </w:style>
  <w:style w:styleId="Style_16" w:type="paragraph">
    <w:name w:val="WW-Absatz-Standardschriftart11111"/>
    <w:link w:val="Style_16_ch"/>
  </w:style>
  <w:style w:styleId="Style_16_ch" w:type="character">
    <w:name w:val="WW-Absatz-Standardschriftart11111"/>
    <w:link w:val="Style_16"/>
  </w:style>
  <w:style w:styleId="Style_17" w:type="paragraph">
    <w:name w:val="WW-Absatz-Standardschriftart111111111111111"/>
    <w:link w:val="Style_17_ch"/>
  </w:style>
  <w:style w:styleId="Style_17_ch" w:type="character">
    <w:name w:val="WW-Absatz-Standardschriftart111111111111111"/>
    <w:link w:val="Style_17"/>
  </w:style>
  <w:style w:styleId="Style_18" w:type="paragraph">
    <w:name w:val="Заголовок таблицы"/>
    <w:basedOn w:val="Style_19"/>
    <w:link w:val="Style_18_ch"/>
    <w:pPr>
      <w:ind/>
      <w:jc w:val="center"/>
    </w:pPr>
    <w:rPr>
      <w:b w:val="1"/>
    </w:rPr>
  </w:style>
  <w:style w:styleId="Style_18_ch" w:type="character">
    <w:name w:val="Заголовок таблицы"/>
    <w:basedOn w:val="Style_19_ch"/>
    <w:link w:val="Style_18"/>
    <w:rPr>
      <w:b w:val="1"/>
    </w:rPr>
  </w:style>
  <w:style w:styleId="Style_20" w:type="paragraph">
    <w:name w:val="WW-Absatz-Standardschriftart111111111"/>
    <w:link w:val="Style_20_ch"/>
  </w:style>
  <w:style w:styleId="Style_20_ch" w:type="character">
    <w:name w:val="WW-Absatz-Standardschriftart111111111"/>
    <w:link w:val="Style_20"/>
  </w:style>
  <w:style w:styleId="Style_21" w:type="paragraph">
    <w:name w:val="footer"/>
    <w:basedOn w:val="Style_4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4_ch"/>
    <w:link w:val="Style_21"/>
  </w:style>
  <w:style w:styleId="Style_1" w:type="paragraph">
    <w:name w:val="apple-converted-space"/>
    <w:basedOn w:val="Style_22"/>
    <w:link w:val="Style_1_ch"/>
  </w:style>
  <w:style w:styleId="Style_1_ch" w:type="character">
    <w:name w:val="apple-converted-space"/>
    <w:basedOn w:val="Style_22_ch"/>
    <w:link w:val="Style_1"/>
  </w:style>
  <w:style w:styleId="Style_23" w:type="paragraph">
    <w:name w:val="Balloon Text"/>
    <w:basedOn w:val="Style_4"/>
    <w:link w:val="Style_23_ch"/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24" w:type="paragraph">
    <w:name w:val="WW-Absatz-Standardschriftart111111"/>
    <w:link w:val="Style_24_ch"/>
  </w:style>
  <w:style w:styleId="Style_24_ch" w:type="character">
    <w:name w:val="WW-Absatz-Standardschriftart111111"/>
    <w:link w:val="Style_24"/>
  </w:style>
  <w:style w:styleId="Style_25" w:type="paragraph">
    <w:name w:val="WW-Absatz-Standardschriftart11111111111111111"/>
    <w:link w:val="Style_25_ch"/>
  </w:style>
  <w:style w:styleId="Style_25_ch" w:type="character">
    <w:name w:val="WW-Absatz-Standardschriftart11111111111111111"/>
    <w:link w:val="Style_25"/>
  </w:style>
  <w:style w:styleId="Style_26" w:type="paragraph">
    <w:name w:val="Название1"/>
    <w:basedOn w:val="Style_4"/>
    <w:link w:val="Style_26_ch"/>
    <w:pPr>
      <w:spacing w:after="120" w:before="120"/>
      <w:ind/>
    </w:pPr>
    <w:rPr>
      <w:rFonts w:ascii="Arial" w:hAnsi="Arial"/>
      <w:i w:val="1"/>
      <w:sz w:val="20"/>
    </w:rPr>
  </w:style>
  <w:style w:styleId="Style_26_ch" w:type="character">
    <w:name w:val="Название1"/>
    <w:basedOn w:val="Style_4_ch"/>
    <w:link w:val="Style_26"/>
    <w:rPr>
      <w:rFonts w:ascii="Arial" w:hAnsi="Arial"/>
      <w:i w:val="1"/>
      <w:sz w:val="20"/>
    </w:rPr>
  </w:style>
  <w:style w:styleId="Style_27" w:type="paragraph">
    <w:name w:val="WW-Absatz-Standardschriftart111"/>
    <w:link w:val="Style_27_ch"/>
  </w:style>
  <w:style w:styleId="Style_27_ch" w:type="character">
    <w:name w:val="WW-Absatz-Standardschriftart111"/>
    <w:link w:val="Style_27"/>
  </w:style>
  <w:style w:styleId="Style_28" w:type="paragraph">
    <w:name w:val="WW-Absatz-Standardschriftart1111"/>
    <w:link w:val="Style_28_ch"/>
  </w:style>
  <w:style w:styleId="Style_28_ch" w:type="character">
    <w:name w:val="WW-Absatz-Standardschriftart1111"/>
    <w:link w:val="Style_28"/>
  </w:style>
  <w:style w:styleId="Style_9" w:type="paragraph">
    <w:name w:val="Body Text"/>
    <w:basedOn w:val="Style_4"/>
    <w:link w:val="Style_9_ch"/>
    <w:pPr>
      <w:spacing w:after="120" w:before="0"/>
      <w:ind/>
    </w:pPr>
  </w:style>
  <w:style w:styleId="Style_9_ch" w:type="character">
    <w:name w:val="Body Text"/>
    <w:basedOn w:val="Style_4_ch"/>
    <w:link w:val="Style_9"/>
  </w:style>
  <w:style w:styleId="Style_29" w:type="paragraph">
    <w:name w:val="WW-Absatz-Standardschriftart11111111111111111111"/>
    <w:link w:val="Style_29_ch"/>
  </w:style>
  <w:style w:styleId="Style_29_ch" w:type="character">
    <w:name w:val="WW-Absatz-Standardschriftart11111111111111111111"/>
    <w:link w:val="Style_29"/>
  </w:style>
  <w:style w:styleId="Style_30" w:type="paragraph">
    <w:name w:val="WW-Absatz-Standardschriftart1111111111111"/>
    <w:link w:val="Style_30_ch"/>
  </w:style>
  <w:style w:styleId="Style_30_ch" w:type="character">
    <w:name w:val="WW-Absatz-Standardschriftart1111111111111"/>
    <w:link w:val="Style_30"/>
  </w:style>
  <w:style w:styleId="Style_31" w:type="paragraph">
    <w:name w:val="toc 3"/>
    <w:next w:val="Style_4"/>
    <w:link w:val="Style_3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2" w:type="paragraph">
    <w:name w:val="Указатель1"/>
    <w:basedOn w:val="Style_4"/>
    <w:link w:val="Style_32_ch"/>
    <w:rPr>
      <w:rFonts w:ascii="Arial" w:hAnsi="Arial"/>
    </w:rPr>
  </w:style>
  <w:style w:styleId="Style_32_ch" w:type="character">
    <w:name w:val="Указатель1"/>
    <w:basedOn w:val="Style_4_ch"/>
    <w:link w:val="Style_32"/>
    <w:rPr>
      <w:rFonts w:ascii="Arial" w:hAnsi="Arial"/>
    </w:rPr>
  </w:style>
  <w:style w:styleId="Style_33" w:type="paragraph">
    <w:name w:val="heading 5"/>
    <w:next w:val="Style_4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heading 1"/>
    <w:basedOn w:val="Style_4"/>
    <w:next w:val="Style_4"/>
    <w:link w:val="Style_34_ch"/>
    <w:uiPriority w:val="9"/>
    <w:qFormat/>
    <w:pPr>
      <w:keepNext w:val="1"/>
      <w:numPr>
        <w:ilvl w:val="0"/>
        <w:numId w:val="1"/>
      </w:numPr>
      <w:ind w:firstLine="0" w:left="0" w:right="0"/>
      <w:jc w:val="center"/>
      <w:outlineLvl w:val="0"/>
    </w:pPr>
    <w:rPr>
      <w:sz w:val="28"/>
    </w:rPr>
  </w:style>
  <w:style w:styleId="Style_34_ch" w:type="character">
    <w:name w:val="heading 1"/>
    <w:basedOn w:val="Style_4_ch"/>
    <w:link w:val="Style_34"/>
    <w:rPr>
      <w:sz w:val="28"/>
    </w:rPr>
  </w:style>
  <w:style w:styleId="Style_35" w:type="paragraph">
    <w:name w:val="WW-Absatz-Standardschriftart1111111111111111111"/>
    <w:link w:val="Style_35_ch"/>
  </w:style>
  <w:style w:styleId="Style_35_ch" w:type="character">
    <w:name w:val="WW-Absatz-Standardschriftart1111111111111111111"/>
    <w:link w:val="Style_35"/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4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"/>
    <w:basedOn w:val="Style_4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header"/>
    <w:basedOn w:val="Style_4_ch"/>
    <w:link w:val="Style_38"/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0"/>
    </w:rPr>
  </w:style>
  <w:style w:styleId="Style_39_ch" w:type="character">
    <w:name w:val="Header and Footer"/>
    <w:link w:val="Style_39"/>
    <w:rPr>
      <w:rFonts w:ascii="XO Thames" w:hAnsi="XO Thames"/>
      <w:sz w:val="20"/>
    </w:rPr>
  </w:style>
  <w:style w:styleId="Style_40" w:type="paragraph">
    <w:name w:val="toc 9"/>
    <w:next w:val="Style_4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WW-Absatz-Standardschriftart11111111"/>
    <w:link w:val="Style_41_ch"/>
  </w:style>
  <w:style w:styleId="Style_41_ch" w:type="character">
    <w:name w:val="WW-Absatz-Standardschriftart11111111"/>
    <w:link w:val="Style_41"/>
  </w:style>
  <w:style w:styleId="Style_42" w:type="paragraph">
    <w:name w:val="WW-Absatz-Standardschriftart111111111111111111"/>
    <w:link w:val="Style_42_ch"/>
  </w:style>
  <w:style w:styleId="Style_42_ch" w:type="character">
    <w:name w:val="WW-Absatz-Standardschriftart111111111111111111"/>
    <w:link w:val="Style_42"/>
  </w:style>
  <w:style w:styleId="Style_43" w:type="paragraph">
    <w:name w:val="toc 8"/>
    <w:next w:val="Style_4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Заголовок"/>
    <w:basedOn w:val="Style_4"/>
    <w:next w:val="Style_9"/>
    <w:link w:val="Style_44_ch"/>
    <w:pPr>
      <w:keepNext w:val="1"/>
      <w:spacing w:after="120" w:before="240"/>
      <w:ind/>
    </w:pPr>
    <w:rPr>
      <w:rFonts w:ascii="Arial" w:hAnsi="Arial"/>
      <w:sz w:val="28"/>
    </w:rPr>
  </w:style>
  <w:style w:styleId="Style_44_ch" w:type="character">
    <w:name w:val="Заголовок"/>
    <w:basedOn w:val="Style_4_ch"/>
    <w:link w:val="Style_44"/>
    <w:rPr>
      <w:rFonts w:ascii="Arial" w:hAnsi="Arial"/>
      <w:sz w:val="28"/>
    </w:rPr>
  </w:style>
  <w:style w:styleId="Style_45" w:type="paragraph">
    <w:name w:val="WW-Absatz-Standardschriftart111111111111111111111"/>
    <w:link w:val="Style_45_ch"/>
  </w:style>
  <w:style w:styleId="Style_45_ch" w:type="character">
    <w:name w:val="WW-Absatz-Standardschriftart111111111111111111111"/>
    <w:link w:val="Style_45"/>
  </w:style>
  <w:style w:styleId="Style_19" w:type="paragraph">
    <w:name w:val="Содержимое таблицы"/>
    <w:basedOn w:val="Style_4"/>
    <w:link w:val="Style_19_ch"/>
  </w:style>
  <w:style w:styleId="Style_19_ch" w:type="character">
    <w:name w:val="Содержимое таблицы"/>
    <w:basedOn w:val="Style_4_ch"/>
    <w:link w:val="Style_19"/>
  </w:style>
  <w:style w:styleId="Style_46" w:type="paragraph">
    <w:name w:val="toc 5"/>
    <w:next w:val="Style_4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WW-Absatz-Standardschriftart1111111111111111"/>
    <w:link w:val="Style_47_ch"/>
  </w:style>
  <w:style w:styleId="Style_47_ch" w:type="character">
    <w:name w:val="WW-Absatz-Standardschriftart1111111111111111"/>
    <w:link w:val="Style_47"/>
  </w:style>
  <w:style w:styleId="Style_48" w:type="paragraph">
    <w:name w:val="WW-Absatz-Standardschriftart11"/>
    <w:link w:val="Style_48_ch"/>
  </w:style>
  <w:style w:styleId="Style_48_ch" w:type="character">
    <w:name w:val="WW-Absatz-Standardschriftart11"/>
    <w:link w:val="Style_48"/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styleId="Style_50" w:type="paragraph">
    <w:name w:val="WW-Absatz-Standardschriftart1"/>
    <w:link w:val="Style_50_ch"/>
  </w:style>
  <w:style w:styleId="Style_50_ch" w:type="character">
    <w:name w:val="WW-Absatz-Standardschriftart1"/>
    <w:link w:val="Style_50"/>
  </w:style>
  <w:style w:styleId="Style_51" w:type="paragraph">
    <w:name w:val="Subtitle"/>
    <w:next w:val="Style_4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Absatz-Standardschriftart"/>
    <w:link w:val="Style_52_ch"/>
  </w:style>
  <w:style w:styleId="Style_52_ch" w:type="character">
    <w:name w:val="Absatz-Standardschriftart"/>
    <w:link w:val="Style_52"/>
  </w:style>
  <w:style w:styleId="Style_53" w:type="paragraph">
    <w:name w:val="Title"/>
    <w:next w:val="Style_4"/>
    <w:link w:val="Style_5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54" w:type="paragraph">
    <w:name w:val="heading 4"/>
    <w:next w:val="Style_4"/>
    <w:link w:val="Style_5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heading 2"/>
    <w:next w:val="Style_4"/>
    <w:link w:val="Style_5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5_ch" w:type="character">
    <w:name w:val="heading 2"/>
    <w:link w:val="Style_55"/>
    <w:rPr>
      <w:rFonts w:ascii="XO Thames" w:hAnsi="XO Thames"/>
      <w:b w:val="1"/>
      <w:sz w:val="28"/>
    </w:rPr>
  </w:style>
  <w:style w:styleId="Style_56" w:type="paragraph">
    <w:name w:val="WW-Absatz-Standardschriftart1111111"/>
    <w:link w:val="Style_56_ch"/>
  </w:style>
  <w:style w:styleId="Style_56_ch" w:type="character">
    <w:name w:val="WW-Absatz-Standardschriftart1111111"/>
    <w:link w:val="Style_56"/>
  </w:style>
  <w:style w:styleId="Style_57" w:type="paragraph">
    <w:name w:val="WW-Absatz-Standardschriftart111111111111"/>
    <w:link w:val="Style_57_ch"/>
  </w:style>
  <w:style w:styleId="Style_57_ch" w:type="character">
    <w:name w:val="WW-Absatz-Standardschriftart111111111111"/>
    <w:link w:val="Style_57"/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2025-04-11T08:00:37Z</dcterms:modified>
</cp:coreProperties>
</file>