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right"/>
        <w:rPr>
          <w:rFonts w:ascii="Times New Roman" w:hAnsi="Times New Roman"/>
          <w:sz w:val="24"/>
        </w:rPr>
      </w:pPr>
    </w:p>
    <w:p w14:paraId="02000000">
      <w:pPr>
        <w:spacing w:after="0" w:line="240" w:lineRule="auto"/>
        <w:ind/>
        <w:jc w:val="right"/>
        <w:rPr>
          <w:rFonts w:ascii="Times New Roman" w:hAnsi="Times New Roman"/>
        </w:rPr>
      </w:pPr>
      <w:r>
        <w:rPr>
          <w:rFonts w:ascii="Times New Roman" w:hAnsi="Times New Roman"/>
        </w:rPr>
        <w:t xml:space="preserve"> Приложение №</w:t>
      </w:r>
      <w:r>
        <w:rPr>
          <w:rFonts w:ascii="Times New Roman" w:hAnsi="Times New Roman"/>
        </w:rPr>
        <w:t xml:space="preserve"> 1</w:t>
      </w:r>
      <w:r>
        <w:rPr>
          <w:rFonts w:ascii="Times New Roman" w:hAnsi="Times New Roman"/>
        </w:rPr>
        <w:t xml:space="preserve"> </w:t>
      </w:r>
    </w:p>
    <w:p w14:paraId="03000000">
      <w:pPr>
        <w:spacing w:after="0" w:line="240" w:lineRule="auto"/>
        <w:ind/>
        <w:jc w:val="right"/>
        <w:rPr>
          <w:rFonts w:ascii="Times New Roman" w:hAnsi="Times New Roman"/>
        </w:rPr>
      </w:pPr>
      <w:r>
        <w:rPr>
          <w:rFonts w:ascii="Times New Roman" w:hAnsi="Times New Roman"/>
        </w:rPr>
        <w:t>к  приказу от 27.12.202 № 885-О</w:t>
      </w:r>
    </w:p>
    <w:p w14:paraId="04000000">
      <w:pPr>
        <w:widowControl w:val="0"/>
        <w:spacing w:after="0" w:line="240" w:lineRule="auto"/>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p w14:paraId="05000000">
      <w:pPr>
        <w:spacing w:after="0" w:line="240" w:lineRule="auto"/>
        <w:ind/>
        <w:jc w:val="center"/>
        <w:rPr>
          <w:rFonts w:ascii="Times New Roman" w:hAnsi="Times New Roman"/>
          <w:b w:val="1"/>
          <w:sz w:val="24"/>
        </w:rPr>
      </w:pPr>
      <w:r>
        <w:rPr>
          <w:rFonts w:ascii="Times New Roman" w:hAnsi="Times New Roman"/>
          <w:sz w:val="24"/>
        </w:rPr>
        <w:t xml:space="preserve">                              </w:t>
      </w:r>
      <w:r>
        <w:rPr>
          <w:rFonts w:ascii="Times New Roman" w:hAnsi="Times New Roman"/>
          <w:sz w:val="24"/>
        </w:rPr>
        <w:t xml:space="preserve">            </w:t>
      </w:r>
    </w:p>
    <w:p w14:paraId="06000000">
      <w:pPr>
        <w:spacing w:after="0" w:line="240" w:lineRule="auto"/>
        <w:ind/>
        <w:jc w:val="center"/>
        <w:rPr>
          <w:rFonts w:ascii="Times New Roman" w:hAnsi="Times New Roman"/>
          <w:b w:val="1"/>
          <w:sz w:val="28"/>
        </w:rPr>
      </w:pPr>
      <w:r>
        <w:rPr>
          <w:rFonts w:ascii="Times New Roman" w:hAnsi="Times New Roman"/>
          <w:b w:val="1"/>
          <w:sz w:val="28"/>
        </w:rPr>
        <w:t>Порядок</w:t>
      </w:r>
    </w:p>
    <w:p w14:paraId="07000000">
      <w:pPr>
        <w:spacing w:after="0" w:line="240" w:lineRule="auto"/>
        <w:ind/>
        <w:jc w:val="center"/>
        <w:rPr>
          <w:rFonts w:ascii="Times New Roman" w:hAnsi="Times New Roman"/>
          <w:b w:val="1"/>
          <w:sz w:val="28"/>
        </w:rPr>
      </w:pPr>
      <w:r>
        <w:rPr>
          <w:rFonts w:ascii="Times New Roman" w:hAnsi="Times New Roman"/>
          <w:b w:val="1"/>
          <w:sz w:val="28"/>
        </w:rPr>
        <w:t xml:space="preserve"> процедуры защиты работников, сообщивших о коррупционных правонарушениях в деятельности государственного автономного учреждения культуры Ростовской области «Ростовская  государственная филармония»</w:t>
      </w:r>
      <w:r>
        <w:rPr>
          <w:rFonts w:ascii="Times New Roman" w:hAnsi="Times New Roman"/>
          <w:b w:val="1"/>
          <w:sz w:val="28"/>
        </w:rPr>
        <w:t xml:space="preserve"> от формальных и неформальных  санкций</w:t>
      </w:r>
    </w:p>
    <w:p w14:paraId="08000000">
      <w:pPr>
        <w:spacing w:after="0"/>
        <w:ind/>
        <w:jc w:val="center"/>
        <w:rPr>
          <w:rFonts w:ascii="Times New Roman" w:hAnsi="Times New Roman"/>
          <w:sz w:val="28"/>
        </w:rPr>
      </w:pPr>
    </w:p>
    <w:p w14:paraId="09000000">
      <w:pPr>
        <w:spacing w:after="0"/>
        <w:ind/>
        <w:jc w:val="center"/>
        <w:rPr>
          <w:rFonts w:ascii="Times New Roman" w:hAnsi="Times New Roman"/>
          <w:b w:val="1"/>
          <w:sz w:val="28"/>
        </w:rPr>
      </w:pPr>
      <w:r>
        <w:rPr>
          <w:rFonts w:ascii="Times New Roman" w:hAnsi="Times New Roman"/>
          <w:b w:val="1"/>
          <w:sz w:val="28"/>
        </w:rPr>
        <w:t>1. Общие положения</w:t>
      </w:r>
    </w:p>
    <w:p w14:paraId="0A000000">
      <w:pPr>
        <w:spacing w:after="0" w:line="240" w:lineRule="auto"/>
        <w:ind w:firstLine="709" w:left="0"/>
        <w:jc w:val="both"/>
        <w:rPr>
          <w:rFonts w:ascii="Times New Roman" w:hAnsi="Times New Roman"/>
          <w:sz w:val="28"/>
        </w:rPr>
      </w:pPr>
      <w:r>
        <w:rPr>
          <w:rFonts w:ascii="Times New Roman" w:hAnsi="Times New Roman"/>
          <w:sz w:val="28"/>
        </w:rPr>
        <w:t>1.1. Настоящее Порядок защиты работников, сообщивших о коррупционных правонарушениях в деятельности ГАУК РО «Ростгосфилармония»</w:t>
      </w:r>
      <w:r>
        <w:rPr>
          <w:rFonts w:ascii="Times New Roman" w:hAnsi="Times New Roman"/>
          <w:sz w:val="28"/>
        </w:rPr>
        <w:t xml:space="preserve">  (далее – Учреждение) от формальных и неформальных санкций (далее – Порядок) разработан в соответствии с Федеральным законом от 25.12.2008 № 273-ФЗ «О противодействии коррупции». </w:t>
      </w:r>
    </w:p>
    <w:p w14:paraId="0B000000">
      <w:pPr>
        <w:spacing w:after="0" w:line="240" w:lineRule="auto"/>
        <w:ind w:firstLine="709" w:left="0"/>
        <w:jc w:val="both"/>
        <w:rPr>
          <w:rFonts w:ascii="Times New Roman" w:hAnsi="Times New Roman"/>
          <w:sz w:val="28"/>
        </w:rPr>
      </w:pPr>
      <w:r>
        <w:rPr>
          <w:rFonts w:ascii="Times New Roman" w:hAnsi="Times New Roman"/>
          <w:sz w:val="28"/>
        </w:rPr>
        <w:t xml:space="preserve">1.2. Действия настоящего Порядка распространяются на всех работников Учреждения вне зависимости от уровня занимаемой должности. </w:t>
      </w:r>
    </w:p>
    <w:p w14:paraId="0C000000">
      <w:pPr>
        <w:spacing w:after="0" w:line="240" w:lineRule="auto"/>
        <w:ind w:firstLine="709" w:left="0"/>
        <w:jc w:val="both"/>
        <w:rPr>
          <w:rFonts w:ascii="Times New Roman" w:hAnsi="Times New Roman"/>
          <w:sz w:val="28"/>
        </w:rPr>
      </w:pPr>
      <w:r>
        <w:rPr>
          <w:rFonts w:ascii="Times New Roman" w:hAnsi="Times New Roman"/>
          <w:sz w:val="28"/>
        </w:rPr>
        <w:t xml:space="preserve">1.3. Термины и определения: </w:t>
      </w:r>
    </w:p>
    <w:p w14:paraId="0D000000">
      <w:pPr>
        <w:spacing w:after="0" w:line="240" w:lineRule="auto"/>
        <w:ind w:firstLine="709" w:left="0"/>
        <w:jc w:val="both"/>
        <w:rPr>
          <w:rFonts w:ascii="Times New Roman" w:hAnsi="Times New Roman"/>
          <w:sz w:val="28"/>
        </w:rPr>
      </w:pPr>
      <w:r>
        <w:rPr>
          <w:rFonts w:ascii="Times New Roman" w:hAnsi="Times New Roman"/>
          <w:sz w:val="28"/>
        </w:rPr>
        <w:t xml:space="preserve">1.3.1. Работники учреждения – физические лица, состоящие с Учреждением в трудовых отношениях на основании трудового договора. </w:t>
      </w:r>
    </w:p>
    <w:p w14:paraId="0E000000">
      <w:pPr>
        <w:spacing w:after="0" w:line="240" w:lineRule="auto"/>
        <w:ind w:firstLine="709" w:left="0"/>
        <w:jc w:val="both"/>
        <w:rPr>
          <w:rFonts w:ascii="Times New Roman" w:hAnsi="Times New Roman"/>
          <w:sz w:val="28"/>
        </w:rPr>
      </w:pPr>
      <w:r>
        <w:rPr>
          <w:rFonts w:ascii="Times New Roman" w:hAnsi="Times New Roman"/>
          <w:sz w:val="28"/>
        </w:rPr>
        <w:t xml:space="preserve">1.3.2.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14:paraId="0F000000">
      <w:pPr>
        <w:spacing w:after="0" w:line="240" w:lineRule="auto"/>
        <w:ind w:firstLine="709" w:left="0"/>
        <w:jc w:val="both"/>
        <w:rPr>
          <w:rFonts w:ascii="Times New Roman" w:hAnsi="Times New Roman"/>
          <w:sz w:val="28"/>
        </w:rPr>
      </w:pPr>
      <w:r>
        <w:rPr>
          <w:rFonts w:ascii="Times New Roman" w:hAnsi="Times New Roman"/>
          <w:sz w:val="28"/>
        </w:rPr>
        <w:t xml:space="preserve">1.3.3.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 </w:t>
      </w:r>
    </w:p>
    <w:p w14:paraId="10000000">
      <w:pPr>
        <w:spacing w:after="0" w:line="240" w:lineRule="auto"/>
        <w:ind w:firstLine="709" w:left="0"/>
        <w:jc w:val="both"/>
        <w:rPr>
          <w:rFonts w:ascii="Times New Roman" w:hAnsi="Times New Roman"/>
          <w:sz w:val="28"/>
        </w:rPr>
      </w:pPr>
      <w:r>
        <w:rPr>
          <w:rFonts w:ascii="Times New Roman" w:hAnsi="Times New Roman"/>
          <w:sz w:val="28"/>
        </w:rPr>
        <w:t xml:space="preserve">1.3.4. Формальные санкции – меры воздействий, применяемые в соответствии с определёнными правилами (например, меры дисциплинарного взыскания) в отношении работника, сообщившего о коррупционных правонарушениях в деятельности учреждения. </w:t>
      </w:r>
    </w:p>
    <w:p w14:paraId="11000000">
      <w:pPr>
        <w:spacing w:after="0" w:line="240" w:lineRule="auto"/>
        <w:ind w:firstLine="709" w:left="0"/>
        <w:jc w:val="both"/>
        <w:rPr>
          <w:rFonts w:ascii="Times New Roman" w:hAnsi="Times New Roman"/>
          <w:sz w:val="28"/>
        </w:rPr>
      </w:pPr>
      <w:r>
        <w:rPr>
          <w:rFonts w:ascii="Times New Roman" w:hAnsi="Times New Roman"/>
          <w:sz w:val="28"/>
        </w:rPr>
        <w:t xml:space="preserve">1.3.5.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 </w:t>
      </w:r>
    </w:p>
    <w:p w14:paraId="12000000">
      <w:pPr>
        <w:spacing w:after="0" w:line="240" w:lineRule="auto"/>
        <w:ind w:firstLine="709" w:left="0"/>
        <w:jc w:val="both"/>
        <w:rPr>
          <w:rFonts w:ascii="Times New Roman" w:hAnsi="Times New Roman"/>
          <w:sz w:val="28"/>
        </w:rPr>
      </w:pPr>
    </w:p>
    <w:p w14:paraId="13000000">
      <w:pPr>
        <w:spacing w:after="0" w:line="240" w:lineRule="auto"/>
        <w:ind w:firstLine="709" w:left="0"/>
        <w:jc w:val="center"/>
        <w:rPr>
          <w:rFonts w:ascii="Times New Roman" w:hAnsi="Times New Roman"/>
          <w:b w:val="1"/>
          <w:sz w:val="28"/>
        </w:rPr>
      </w:pPr>
      <w:r>
        <w:rPr>
          <w:rFonts w:ascii="Times New Roman" w:hAnsi="Times New Roman"/>
          <w:b w:val="1"/>
          <w:sz w:val="28"/>
        </w:rPr>
        <w:t>2. Порядок защиты работников, сообщивших о коррупционных правонарушениях в Учреждении</w:t>
      </w:r>
    </w:p>
    <w:p w14:paraId="14000000">
      <w:pPr>
        <w:spacing w:after="0" w:line="240" w:lineRule="auto"/>
        <w:ind w:firstLine="709" w:left="0"/>
        <w:jc w:val="both"/>
        <w:rPr>
          <w:rFonts w:ascii="Times New Roman" w:hAnsi="Times New Roman"/>
          <w:sz w:val="28"/>
        </w:rPr>
      </w:pPr>
      <w:r>
        <w:rPr>
          <w:rFonts w:ascii="Times New Roman" w:hAnsi="Times New Roman"/>
          <w:sz w:val="28"/>
        </w:rPr>
        <w:t xml:space="preserve">2.1. Защите подлежат работники,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 </w:t>
      </w:r>
    </w:p>
    <w:p w14:paraId="15000000">
      <w:pPr>
        <w:spacing w:after="0" w:line="240" w:lineRule="auto"/>
        <w:ind w:firstLine="709" w:left="0"/>
        <w:jc w:val="both"/>
        <w:rPr>
          <w:rFonts w:ascii="Times New Roman" w:hAnsi="Times New Roman"/>
          <w:sz w:val="28"/>
        </w:rPr>
      </w:pPr>
      <w:r>
        <w:rPr>
          <w:rFonts w:ascii="Times New Roman" w:hAnsi="Times New Roman"/>
          <w:sz w:val="28"/>
        </w:rPr>
        <w:t xml:space="preserve">2.2. 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 </w:t>
      </w:r>
    </w:p>
    <w:p w14:paraId="16000000">
      <w:pPr>
        <w:spacing w:after="0" w:line="240" w:lineRule="auto"/>
        <w:ind w:firstLine="709" w:left="0"/>
        <w:jc w:val="both"/>
        <w:rPr>
          <w:rFonts w:ascii="Times New Roman" w:hAnsi="Times New Roman"/>
          <w:sz w:val="28"/>
        </w:rPr>
      </w:pPr>
      <w:r>
        <w:rPr>
          <w:rFonts w:ascii="Times New Roman" w:hAnsi="Times New Roman"/>
          <w:sz w:val="28"/>
        </w:rPr>
        <w:t xml:space="preserve">2.3. Для эффективной защиты работников, сообщивших о коррупционных правонарушениях, применяется комплекс мер, который включает в себя: </w:t>
      </w:r>
    </w:p>
    <w:p w14:paraId="17000000">
      <w:pPr>
        <w:spacing w:after="0" w:line="240" w:lineRule="auto"/>
        <w:ind w:firstLine="709" w:left="0"/>
        <w:jc w:val="both"/>
        <w:rPr>
          <w:rFonts w:ascii="Times New Roman" w:hAnsi="Times New Roman"/>
          <w:sz w:val="28"/>
        </w:rPr>
      </w:pPr>
      <w:r>
        <w:rPr>
          <w:rFonts w:ascii="Times New Roman" w:hAnsi="Times New Roman"/>
          <w:sz w:val="28"/>
        </w:rPr>
        <w:t xml:space="preserve">2.3.1. Обеспечение конфиденциальности сведений о работнике, сообщившем о коррупционных правонарушениях в деятельности Учреждения. </w:t>
      </w:r>
    </w:p>
    <w:p w14:paraId="18000000">
      <w:pPr>
        <w:spacing w:after="0" w:line="240" w:lineRule="auto"/>
        <w:ind w:firstLine="709" w:left="0"/>
        <w:jc w:val="both"/>
        <w:rPr>
          <w:rFonts w:ascii="Times New Roman" w:hAnsi="Times New Roman"/>
          <w:sz w:val="28"/>
        </w:rPr>
      </w:pPr>
      <w:r>
        <w:rPr>
          <w:rFonts w:ascii="Times New Roman" w:hAnsi="Times New Roman"/>
          <w:sz w:val="28"/>
        </w:rPr>
        <w:t xml:space="preserve">2.3.2.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14:paraId="19000000">
      <w:pPr>
        <w:spacing w:after="0" w:line="240" w:lineRule="auto"/>
        <w:ind w:firstLine="709" w:left="0"/>
        <w:jc w:val="both"/>
        <w:rPr>
          <w:rFonts w:ascii="Times New Roman" w:hAnsi="Times New Roman"/>
          <w:sz w:val="28"/>
        </w:rPr>
      </w:pPr>
      <w:r>
        <w:rPr>
          <w:rFonts w:ascii="Times New Roman" w:hAnsi="Times New Roman"/>
          <w:sz w:val="28"/>
        </w:rPr>
        <w:t xml:space="preserve">2.4. В случае проведения в отношении работника, ранее сообщившего о коррупционных правонарушениях в деятельности Учреждения, служебной проверки, следствием </w:t>
      </w:r>
      <w:r>
        <w:rPr>
          <w:rFonts w:ascii="Times New Roman" w:hAnsi="Times New Roman"/>
          <w:sz w:val="28"/>
        </w:rPr>
        <w:t>которой</w:t>
      </w:r>
      <w:r>
        <w:rPr>
          <w:rFonts w:ascii="Times New Roman" w:hAnsi="Times New Roman"/>
          <w:sz w:val="28"/>
        </w:rPr>
        <w:t xml:space="preserve">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работников Учреждения и урегулированию конфликта интересов. </w:t>
      </w:r>
    </w:p>
    <w:p w14:paraId="1A000000">
      <w:pPr>
        <w:spacing w:after="0" w:line="240" w:lineRule="auto"/>
        <w:ind w:firstLine="709" w:left="0"/>
        <w:jc w:val="both"/>
        <w:rPr>
          <w:rFonts w:ascii="Times New Roman" w:hAnsi="Times New Roman"/>
          <w:sz w:val="28"/>
        </w:rPr>
      </w:pPr>
      <w:r>
        <w:rPr>
          <w:rFonts w:ascii="Times New Roman" w:hAnsi="Times New Roman"/>
          <w:sz w:val="28"/>
        </w:rPr>
        <w:t xml:space="preserve">2.4.1. </w:t>
      </w:r>
      <w:r>
        <w:rPr>
          <w:rFonts w:ascii="Times New Roman" w:hAnsi="Times New Roman"/>
          <w:sz w:val="28"/>
        </w:rPr>
        <w:t xml:space="preserve">Ходатайство работника,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 </w:t>
      </w:r>
    </w:p>
    <w:p w14:paraId="1B000000">
      <w:pPr>
        <w:spacing w:after="0" w:line="240" w:lineRule="auto"/>
        <w:ind w:firstLine="709" w:left="0"/>
        <w:jc w:val="both"/>
        <w:rPr>
          <w:rFonts w:ascii="Times New Roman" w:hAnsi="Times New Roman"/>
          <w:sz w:val="28"/>
        </w:rPr>
      </w:pPr>
      <w:r>
        <w:rPr>
          <w:rFonts w:ascii="Times New Roman" w:hAnsi="Times New Roman"/>
          <w:sz w:val="28"/>
        </w:rPr>
        <w:t xml:space="preserve">2.5.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 </w:t>
      </w:r>
    </w:p>
    <w:p w14:paraId="1C000000">
      <w:pPr>
        <w:spacing w:after="0" w:line="240" w:lineRule="auto"/>
        <w:ind w:firstLine="709" w:left="0"/>
        <w:jc w:val="center"/>
        <w:rPr>
          <w:rFonts w:ascii="Times New Roman" w:hAnsi="Times New Roman"/>
          <w:b w:val="1"/>
          <w:sz w:val="28"/>
        </w:rPr>
      </w:pPr>
      <w:r>
        <w:rPr>
          <w:rFonts w:ascii="Times New Roman" w:hAnsi="Times New Roman"/>
          <w:b w:val="1"/>
          <w:sz w:val="28"/>
        </w:rPr>
        <w:t>3. Ответственность</w:t>
      </w:r>
    </w:p>
    <w:p w14:paraId="1D000000">
      <w:pPr>
        <w:spacing w:after="0" w:line="240" w:lineRule="auto"/>
        <w:ind w:firstLine="709" w:left="0"/>
        <w:jc w:val="both"/>
        <w:rPr>
          <w:rFonts w:ascii="Times New Roman" w:hAnsi="Times New Roman"/>
          <w:sz w:val="28"/>
        </w:rPr>
      </w:pPr>
      <w:r>
        <w:rPr>
          <w:rFonts w:ascii="Times New Roman" w:hAnsi="Times New Roman"/>
          <w:sz w:val="28"/>
        </w:rPr>
        <w:t>3.1. 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sectPr>
      <w:pgSz w:h="16850" w:orient="portrait" w:w="11900"/>
      <w:pgMar w:bottom="551" w:footer="720" w:gutter="0" w:header="720" w:left="992" w:right="419"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9"/>
      <w:lvlText w:val="%1.1"/>
      <w:lvlJc w:val="center"/>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Default Paragraph Font"/>
    <w:link w:val="Style_2_ch"/>
  </w:style>
  <w:style w:styleId="Style_2_ch" w:type="character">
    <w:name w:val="Default Paragraph Font"/>
    <w:link w:val="Style_2"/>
  </w:style>
  <w:style w:styleId="Style_3" w:type="paragraph">
    <w:name w:val="Strong"/>
    <w:basedOn w:val="Style_2"/>
    <w:link w:val="Style_3_ch"/>
    <w:rPr>
      <w:b w:val="1"/>
    </w:rPr>
  </w:style>
  <w:style w:styleId="Style_3_ch" w:type="character">
    <w:name w:val="Strong"/>
    <w:basedOn w:val="Style_2_ch"/>
    <w:link w:val="Style_3"/>
    <w:rPr>
      <w:b w:val="1"/>
    </w:rPr>
  </w:style>
  <w:style w:styleId="Style_4" w:type="paragraph">
    <w:name w:val="toc 2"/>
    <w:next w:val="Style_1"/>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List Paragraph"/>
    <w:basedOn w:val="Style_1"/>
    <w:link w:val="Style_5_ch"/>
    <w:pPr>
      <w:ind w:firstLine="0" w:left="720"/>
      <w:contextualSpacing w:val="1"/>
    </w:pPr>
    <w:rPr>
      <w:rFonts w:ascii="Times New Roman" w:hAnsi="Times New Roman"/>
      <w:color w:val="000000"/>
      <w:sz w:val="24"/>
    </w:rPr>
  </w:style>
  <w:style w:styleId="Style_5_ch" w:type="character">
    <w:name w:val="List Paragraph"/>
    <w:basedOn w:val="Style_1_ch"/>
    <w:link w:val="Style_5"/>
    <w:rPr>
      <w:rFonts w:ascii="Times New Roman" w:hAnsi="Times New Roman"/>
      <w:color w:val="000000"/>
      <w:sz w:val="24"/>
    </w:rPr>
  </w:style>
  <w:style w:styleId="Style_6" w:type="paragraph">
    <w:name w:val="toc 4"/>
    <w:next w:val="Style_1"/>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1"/>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1"/>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ConsPlusNonformat"/>
    <w:link w:val="Style_9_ch"/>
    <w:pPr>
      <w:spacing w:after="0" w:line="240" w:lineRule="auto"/>
      <w:ind/>
    </w:pPr>
    <w:rPr>
      <w:rFonts w:ascii="Courier New" w:hAnsi="Courier New"/>
      <w:sz w:val="20"/>
    </w:rPr>
  </w:style>
  <w:style w:styleId="Style_9_ch" w:type="character">
    <w:name w:val="ConsPlusNonformat"/>
    <w:link w:val="Style_9"/>
    <w:rPr>
      <w:rFonts w:ascii="Courier New" w:hAnsi="Courier New"/>
      <w:sz w:val="20"/>
    </w:rPr>
  </w:style>
  <w:style w:styleId="Style_10" w:type="paragraph">
    <w:name w:val="heading 3"/>
    <w:next w:val="Style_1"/>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Гипертекстовая ссылка"/>
    <w:basedOn w:val="Style_2"/>
    <w:link w:val="Style_11_ch"/>
    <w:rPr>
      <w:b w:val="1"/>
      <w:color w:val="106BBE"/>
    </w:rPr>
  </w:style>
  <w:style w:styleId="Style_11_ch" w:type="character">
    <w:name w:val="Гипертекстовая ссылка"/>
    <w:basedOn w:val="Style_2_ch"/>
    <w:link w:val="Style_11"/>
    <w:rPr>
      <w:b w:val="1"/>
      <w:color w:val="106BBE"/>
    </w:rPr>
  </w:style>
  <w:style w:styleId="Style_12" w:type="paragraph">
    <w:name w:val="toc 3"/>
    <w:next w:val="Style_1"/>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Table Paragraph"/>
    <w:basedOn w:val="Style_1"/>
    <w:link w:val="Style_13_ch"/>
    <w:pPr>
      <w:widowControl w:val="0"/>
      <w:spacing w:after="0" w:line="240" w:lineRule="auto"/>
      <w:ind/>
    </w:pPr>
    <w:rPr>
      <w:rFonts w:ascii="Times New Roman" w:hAnsi="Times New Roman"/>
    </w:rPr>
  </w:style>
  <w:style w:styleId="Style_13_ch" w:type="character">
    <w:name w:val="Table Paragraph"/>
    <w:basedOn w:val="Style_1_ch"/>
    <w:link w:val="Style_13"/>
    <w:rPr>
      <w:rFonts w:ascii="Times New Roman" w:hAnsi="Times New Roman"/>
    </w:rPr>
  </w:style>
  <w:style w:styleId="Style_14" w:type="paragraph">
    <w:name w:val="Balloon Text"/>
    <w:basedOn w:val="Style_1"/>
    <w:link w:val="Style_14_ch"/>
    <w:pPr>
      <w:spacing w:after="0" w:line="240" w:lineRule="auto"/>
      <w:ind/>
    </w:pPr>
    <w:rPr>
      <w:rFonts w:ascii="Tahoma" w:hAnsi="Tahoma"/>
      <w:sz w:val="16"/>
    </w:rPr>
  </w:style>
  <w:style w:styleId="Style_14_ch" w:type="character">
    <w:name w:val="Balloon Text"/>
    <w:basedOn w:val="Style_1_ch"/>
    <w:link w:val="Style_14"/>
    <w:rPr>
      <w:rFonts w:ascii="Tahoma" w:hAnsi="Tahoma"/>
      <w:sz w:val="16"/>
    </w:rPr>
  </w:style>
  <w:style w:styleId="Style_15" w:type="paragraph">
    <w:name w:val="heading 5"/>
    <w:next w:val="Style_1"/>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Normal (Web)"/>
    <w:basedOn w:val="Style_1"/>
    <w:link w:val="Style_16_ch"/>
    <w:pPr>
      <w:spacing w:afterAutospacing="on" w:beforeAutospacing="on" w:line="240" w:lineRule="auto"/>
      <w:ind/>
    </w:pPr>
    <w:rPr>
      <w:rFonts w:ascii="Times New Roman" w:hAnsi="Times New Roman"/>
      <w:sz w:val="24"/>
    </w:rPr>
  </w:style>
  <w:style w:styleId="Style_16_ch" w:type="character">
    <w:name w:val="Normal (Web)"/>
    <w:basedOn w:val="Style_1_ch"/>
    <w:link w:val="Style_16"/>
    <w:rPr>
      <w:rFonts w:ascii="Times New Roman" w:hAnsi="Times New Roman"/>
      <w:sz w:val="24"/>
    </w:rPr>
  </w:style>
  <w:style w:styleId="Style_17" w:type="paragraph">
    <w:name w:val="heading 1"/>
    <w:basedOn w:val="Style_1"/>
    <w:next w:val="Style_1"/>
    <w:link w:val="Style_17_ch"/>
    <w:uiPriority w:val="9"/>
    <w:qFormat/>
    <w:pPr>
      <w:spacing w:afterAutospacing="on" w:beforeAutospacing="on" w:line="240" w:lineRule="auto"/>
      <w:ind/>
      <w:outlineLvl w:val="0"/>
    </w:pPr>
    <w:rPr>
      <w:rFonts w:ascii="Times New Roman" w:hAnsi="Times New Roman"/>
      <w:b w:val="1"/>
      <w:sz w:val="48"/>
    </w:rPr>
  </w:style>
  <w:style w:styleId="Style_17_ch" w:type="character">
    <w:name w:val="heading 1"/>
    <w:basedOn w:val="Style_1_ch"/>
    <w:link w:val="Style_17"/>
    <w:rPr>
      <w:rFonts w:ascii="Times New Roman" w:hAnsi="Times New Roman"/>
      <w:b w:val="1"/>
      <w:sz w:val="48"/>
    </w:rPr>
  </w:style>
  <w:style w:styleId="Style_18" w:type="paragraph">
    <w:name w:val="caption"/>
    <w:basedOn w:val="Style_1"/>
    <w:next w:val="Style_1"/>
    <w:link w:val="Style_18_ch"/>
    <w:pPr>
      <w:widowControl w:val="0"/>
      <w:spacing w:after="0" w:line="240" w:lineRule="auto"/>
      <w:ind/>
    </w:pPr>
    <w:rPr>
      <w:rFonts w:ascii="Times New Roman" w:hAnsi="Times New Roman"/>
      <w:b w:val="1"/>
      <w:sz w:val="20"/>
    </w:rPr>
  </w:style>
  <w:style w:styleId="Style_18_ch" w:type="character">
    <w:name w:val="caption"/>
    <w:basedOn w:val="Style_1_ch"/>
    <w:link w:val="Style_18"/>
    <w:rPr>
      <w:rFonts w:ascii="Times New Roman" w:hAnsi="Times New Roman"/>
      <w:b w:val="1"/>
      <w:sz w:val="20"/>
    </w:rPr>
  </w:style>
  <w:style w:styleId="Style_19" w:type="paragraph">
    <w:name w:val="_Пункт"/>
    <w:basedOn w:val="Style_1"/>
    <w:link w:val="Style_19_ch"/>
    <w:pPr>
      <w:numPr>
        <w:numId w:val="1"/>
      </w:numPr>
      <w:tabs>
        <w:tab w:leader="none" w:pos="567" w:val="left"/>
        <w:tab w:leader="none" w:pos="1276" w:val="left"/>
      </w:tabs>
      <w:spacing w:after="0"/>
      <w:ind/>
      <w:jc w:val="both"/>
    </w:pPr>
    <w:rPr>
      <w:rFonts w:ascii="Times New Roman" w:hAnsi="Times New Roman"/>
      <w:sz w:val="28"/>
    </w:rPr>
  </w:style>
  <w:style w:styleId="Style_19_ch" w:type="character">
    <w:name w:val="_Пункт"/>
    <w:basedOn w:val="Style_1_ch"/>
    <w:link w:val="Style_19"/>
    <w:rPr>
      <w:rFonts w:ascii="Times New Roman" w:hAnsi="Times New Roman"/>
      <w:sz w:val="28"/>
    </w:rPr>
  </w:style>
  <w:style w:styleId="Style_20" w:type="paragraph">
    <w:name w:val="Hyperlink"/>
    <w:basedOn w:val="Style_2"/>
    <w:link w:val="Style_20_ch"/>
    <w:rPr>
      <w:color w:val="0000FF"/>
      <w:u w:val="single"/>
    </w:rPr>
  </w:style>
  <w:style w:styleId="Style_20_ch" w:type="character">
    <w:name w:val="Hyperlink"/>
    <w:basedOn w:val="Style_2_ch"/>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1"/>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0"/>
    </w:rPr>
  </w:style>
  <w:style w:styleId="Style_23_ch" w:type="character">
    <w:name w:val="Header and Footer"/>
    <w:link w:val="Style_23"/>
    <w:rPr>
      <w:rFonts w:ascii="XO Thames" w:hAnsi="XO Thames"/>
      <w:sz w:val="20"/>
    </w:rPr>
  </w:style>
  <w:style w:styleId="Style_24" w:type="paragraph">
    <w:name w:val="toc 9"/>
    <w:next w:val="Style_1"/>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1"/>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Body Text"/>
    <w:basedOn w:val="Style_1"/>
    <w:link w:val="Style_26_ch"/>
    <w:pPr>
      <w:widowControl w:val="0"/>
      <w:spacing w:after="0" w:line="240" w:lineRule="auto"/>
      <w:ind w:firstLine="0" w:left="213"/>
      <w:jc w:val="both"/>
    </w:pPr>
    <w:rPr>
      <w:rFonts w:ascii="Times New Roman" w:hAnsi="Times New Roman"/>
      <w:sz w:val="28"/>
    </w:rPr>
  </w:style>
  <w:style w:styleId="Style_26_ch" w:type="character">
    <w:name w:val="Body Text"/>
    <w:basedOn w:val="Style_1_ch"/>
    <w:link w:val="Style_26"/>
    <w:rPr>
      <w:rFonts w:ascii="Times New Roman" w:hAnsi="Times New Roman"/>
      <w:sz w:val="28"/>
    </w:rPr>
  </w:style>
  <w:style w:styleId="Style_27" w:type="paragraph">
    <w:name w:val="toc 5"/>
    <w:next w:val="Style_1"/>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1"/>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1"/>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1"/>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basedOn w:val="Style_1"/>
    <w:link w:val="Style_31_ch"/>
    <w:uiPriority w:val="9"/>
    <w:qFormat/>
    <w:pPr>
      <w:spacing w:afterAutospacing="on" w:beforeAutospacing="on" w:line="240" w:lineRule="auto"/>
      <w:ind/>
      <w:outlineLvl w:val="1"/>
    </w:pPr>
    <w:rPr>
      <w:rFonts w:ascii="Times New Roman" w:hAnsi="Times New Roman"/>
      <w:b w:val="1"/>
      <w:sz w:val="36"/>
    </w:rPr>
  </w:style>
  <w:style w:styleId="Style_31_ch" w:type="character">
    <w:name w:val="heading 2"/>
    <w:basedOn w:val="Style_1_ch"/>
    <w:link w:val="Style_31"/>
    <w:rPr>
      <w:rFonts w:ascii="Times New Roman" w:hAnsi="Times New Roman"/>
      <w:b w:val="1"/>
      <w:sz w:val="36"/>
    </w:rPr>
  </w:style>
  <w:style w:default="1" w:styleId="Style_32" w:type="table">
    <w:name w:val="Normal Table"/>
    <w:tblPr>
      <w:tblInd w:type="dxa" w:w="0"/>
      <w:tblCellMar>
        <w:top w:type="dxa" w:w="0"/>
        <w:left w:type="dxa" w:w="108"/>
        <w:bottom w:type="dxa" w:w="0"/>
        <w:right w:type="dxa" w:w="108"/>
      </w:tblCellMar>
    </w:tblPr>
  </w:style>
  <w:style w:styleId="Style_33" w:type="table">
    <w:name w:val="Table Grid"/>
    <w:basedOn w:val="Style_32"/>
    <w:pPr>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4" w:type="table">
    <w:name w:val="Table Normal"/>
    <w:pPr>
      <w:widowControl w:val="0"/>
      <w:spacing w:after="0" w:line="240" w:lineRule="auto"/>
      <w:ind/>
    </w:pPr>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2025-04-11T07:53:54Z</dcterms:modified>
</cp:coreProperties>
</file>